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23" w:rsidRPr="00783756" w:rsidRDefault="00D50023" w:rsidP="00E92D86">
      <w:pPr>
        <w:shd w:val="clear" w:color="auto" w:fill="FFFFFF"/>
        <w:snapToGrid w:val="0"/>
        <w:spacing w:after="0" w:line="360" w:lineRule="auto"/>
        <w:jc w:val="center"/>
        <w:rPr>
          <w:rFonts w:ascii="SimSun" w:eastAsia="SimSun" w:hAnsi="SimSun" w:cs="SimSun"/>
          <w:b/>
          <w:bCs/>
          <w:color w:val="383E33"/>
          <w:sz w:val="32"/>
          <w:szCs w:val="32"/>
        </w:rPr>
      </w:pPr>
      <w:r w:rsidRPr="00783756">
        <w:rPr>
          <w:rFonts w:ascii="SimSun" w:eastAsia="SimSun" w:hAnsi="SimSun" w:cs="SimSun" w:hint="eastAsia"/>
          <w:b/>
          <w:bCs/>
          <w:color w:val="383E33"/>
          <w:sz w:val="32"/>
          <w:szCs w:val="32"/>
        </w:rPr>
        <w:t>关于美国麻州大学波士顿分校招收硕士研究生的通知</w:t>
      </w:r>
    </w:p>
    <w:p w:rsidR="00E92D86" w:rsidRPr="00783756" w:rsidRDefault="00E92D86" w:rsidP="00783756">
      <w:pPr>
        <w:shd w:val="clear" w:color="auto" w:fill="FFFFFF"/>
        <w:snapToGrid w:val="0"/>
        <w:spacing w:after="0" w:line="360" w:lineRule="auto"/>
        <w:ind w:firstLineChars="200" w:firstLine="480"/>
        <w:rPr>
          <w:rFonts w:ascii="SimSun" w:eastAsia="SimSun" w:hAnsi="SimSun" w:cs="Times New Roman"/>
          <w:color w:val="593939"/>
          <w:sz w:val="24"/>
          <w:szCs w:val="24"/>
        </w:rPr>
      </w:pPr>
    </w:p>
    <w:p w:rsidR="00D50023" w:rsidRPr="00783756" w:rsidRDefault="00D50023" w:rsidP="00E92D86">
      <w:pPr>
        <w:shd w:val="clear" w:color="auto" w:fill="FFFFFF"/>
        <w:snapToGrid w:val="0"/>
        <w:spacing w:after="0" w:line="360" w:lineRule="auto"/>
        <w:ind w:firstLineChars="200" w:firstLine="480"/>
        <w:rPr>
          <w:rFonts w:ascii="SimSun" w:eastAsia="SimSun" w:hAnsi="SimSun" w:cs="Times New Roman"/>
          <w:color w:val="593939"/>
          <w:sz w:val="24"/>
          <w:szCs w:val="24"/>
        </w:rPr>
      </w:pPr>
      <w:r w:rsidRPr="00783756">
        <w:rPr>
          <w:rFonts w:ascii="SimSun" w:eastAsia="SimSun" w:hAnsi="SimSun" w:cs="Times New Roman" w:hint="eastAsia"/>
          <w:color w:val="593939"/>
          <w:sz w:val="24"/>
          <w:szCs w:val="24"/>
        </w:rPr>
        <w:t>美国马萨诸塞州大学波士顿分校</w:t>
      </w:r>
      <w:r w:rsidR="00370131" w:rsidRPr="00783756">
        <w:rPr>
          <w:rFonts w:ascii="SimSun" w:eastAsia="SimSun" w:hAnsi="SimSun" w:cs="Times New Roman" w:hint="eastAsia"/>
          <w:color w:val="593939"/>
          <w:sz w:val="24"/>
          <w:szCs w:val="24"/>
        </w:rPr>
        <w:t>（University of Massachusetts Boston）</w:t>
      </w:r>
      <w:r w:rsidRPr="00783756">
        <w:rPr>
          <w:rFonts w:ascii="SimSun" w:eastAsia="SimSun" w:hAnsi="SimSun" w:cs="Times New Roman" w:hint="eastAsia"/>
          <w:color w:val="593939"/>
          <w:sz w:val="24"/>
          <w:szCs w:val="24"/>
        </w:rPr>
        <w:t>与中国人民大学已经建立和保持了紧密的合作，两校共同建设的孔子学院被国家汉办许琳主任评价为“美国孔子学院的一面旗帜”。</w:t>
      </w:r>
      <w:r w:rsidRPr="00D50023">
        <w:rPr>
          <w:rFonts w:ascii="SimSun" w:eastAsia="SimSun" w:hAnsi="SimSun" w:cs="Times New Roman" w:hint="eastAsia"/>
          <w:color w:val="593939"/>
          <w:sz w:val="24"/>
          <w:szCs w:val="24"/>
        </w:rPr>
        <w:t>为进一步推动与</w:t>
      </w:r>
      <w:r w:rsidRPr="00783756">
        <w:rPr>
          <w:rFonts w:ascii="SimSun" w:eastAsia="SimSun" w:hAnsi="SimSun" w:cs="Times New Roman" w:hint="eastAsia"/>
          <w:color w:val="593939"/>
          <w:sz w:val="24"/>
          <w:szCs w:val="24"/>
        </w:rPr>
        <w:t>中国人民大学和中国其他大学的交流，麻州大学波士顿分校决定</w:t>
      </w:r>
      <w:r w:rsidR="00370131" w:rsidRPr="00783756">
        <w:rPr>
          <w:rFonts w:ascii="SimSun" w:eastAsia="SimSun" w:hAnsi="SimSun" w:cs="Times New Roman" w:hint="eastAsia"/>
          <w:color w:val="593939"/>
          <w:sz w:val="24"/>
          <w:szCs w:val="24"/>
        </w:rPr>
        <w:t>在</w:t>
      </w:r>
      <w:r w:rsidR="00025FF6" w:rsidRPr="00783756">
        <w:rPr>
          <w:rFonts w:ascii="SimSun" w:eastAsia="SimSun" w:hAnsi="SimSun" w:cs="Times New Roman" w:hint="eastAsia"/>
          <w:color w:val="593939"/>
          <w:sz w:val="24"/>
          <w:szCs w:val="24"/>
        </w:rPr>
        <w:t>中国人民大学</w:t>
      </w:r>
      <w:r w:rsidR="00370131" w:rsidRPr="00783756">
        <w:rPr>
          <w:rFonts w:ascii="SimSun" w:eastAsia="SimSun" w:hAnsi="SimSun" w:cs="Times New Roman" w:hint="eastAsia"/>
          <w:color w:val="593939"/>
          <w:sz w:val="24"/>
          <w:szCs w:val="24"/>
        </w:rPr>
        <w:t>选录硕士研究生。</w:t>
      </w:r>
    </w:p>
    <w:p w:rsidR="00370131" w:rsidRPr="00783756" w:rsidRDefault="00370131" w:rsidP="00E92D86">
      <w:pPr>
        <w:pStyle w:val="ListParagraph"/>
        <w:numPr>
          <w:ilvl w:val="0"/>
          <w:numId w:val="1"/>
        </w:numPr>
        <w:shd w:val="clear" w:color="auto" w:fill="FFFFFF"/>
        <w:snapToGrid w:val="0"/>
        <w:spacing w:after="0" w:line="360" w:lineRule="auto"/>
        <w:contextualSpacing w:val="0"/>
        <w:rPr>
          <w:rFonts w:ascii="SimSun" w:eastAsia="SimSun" w:hAnsi="SimSun" w:cs="Times New Roman"/>
          <w:b/>
          <w:color w:val="593939"/>
          <w:sz w:val="24"/>
          <w:szCs w:val="24"/>
        </w:rPr>
      </w:pPr>
      <w:r w:rsidRPr="00783756">
        <w:rPr>
          <w:rFonts w:ascii="SimSun" w:eastAsia="SimSun" w:hAnsi="SimSun" w:cs="Times New Roman" w:hint="eastAsia"/>
          <w:b/>
          <w:color w:val="593939"/>
          <w:sz w:val="24"/>
          <w:szCs w:val="24"/>
        </w:rPr>
        <w:t>专业和项目简介</w:t>
      </w:r>
    </w:p>
    <w:p w:rsidR="000575B7" w:rsidRDefault="00370131" w:rsidP="000575B7">
      <w:pPr>
        <w:shd w:val="clear" w:color="auto" w:fill="FFFFFF"/>
        <w:snapToGrid w:val="0"/>
        <w:spacing w:after="0" w:line="360" w:lineRule="auto"/>
        <w:ind w:firstLineChars="200" w:firstLine="480"/>
        <w:rPr>
          <w:rFonts w:ascii="SimSun" w:eastAsia="SimSun" w:hAnsi="SimSun" w:cs="Times New Roman"/>
          <w:color w:val="593939"/>
          <w:sz w:val="24"/>
          <w:szCs w:val="24"/>
        </w:rPr>
      </w:pPr>
      <w:r w:rsidRPr="00783756">
        <w:rPr>
          <w:rFonts w:ascii="SimSun" w:eastAsia="SimSun" w:hAnsi="SimSun" w:cs="Times New Roman" w:hint="eastAsia"/>
          <w:color w:val="593939"/>
          <w:sz w:val="24"/>
          <w:szCs w:val="24"/>
        </w:rPr>
        <w:t>麻州大学波士顿分校此次主要招收一</w:t>
      </w:r>
      <w:r w:rsidR="00824C75">
        <w:rPr>
          <w:rFonts w:ascii="SimSun" w:eastAsia="SimSun" w:hAnsi="SimSun" w:cs="Times New Roman" w:hint="eastAsia"/>
          <w:color w:val="593939"/>
          <w:sz w:val="24"/>
          <w:szCs w:val="24"/>
        </w:rPr>
        <w:t>至两年</w:t>
      </w:r>
      <w:r w:rsidRPr="00783756">
        <w:rPr>
          <w:rFonts w:ascii="SimSun" w:eastAsia="SimSun" w:hAnsi="SimSun" w:cs="Times New Roman" w:hint="eastAsia"/>
          <w:color w:val="593939"/>
          <w:sz w:val="24"/>
          <w:szCs w:val="24"/>
        </w:rPr>
        <w:t>期硕士项目，</w:t>
      </w:r>
      <w:r w:rsidR="00861F2A">
        <w:rPr>
          <w:rFonts w:ascii="SimSun" w:eastAsia="SimSun" w:hAnsi="SimSun" w:cs="Times New Roman" w:hint="eastAsia"/>
          <w:color w:val="593939"/>
          <w:sz w:val="24"/>
          <w:szCs w:val="24"/>
        </w:rPr>
        <w:t>主要集中在管理学院、</w:t>
      </w:r>
      <w:r w:rsidR="00861F2A" w:rsidRPr="00861F2A">
        <w:rPr>
          <w:rFonts w:ascii="SimSun" w:eastAsia="SimSun" w:hAnsi="SimSun" w:cs="Times New Roman"/>
          <w:color w:val="593939"/>
          <w:sz w:val="24"/>
          <w:szCs w:val="24"/>
        </w:rPr>
        <w:t>麦科马克政策与全球研究院</w:t>
      </w:r>
      <w:r w:rsidR="00861F2A" w:rsidRPr="00861F2A">
        <w:rPr>
          <w:rFonts w:ascii="SimSun" w:eastAsia="SimSun" w:hAnsi="SimSun" w:cs="Times New Roman" w:hint="eastAsia"/>
          <w:color w:val="593939"/>
          <w:sz w:val="24"/>
          <w:szCs w:val="24"/>
        </w:rPr>
        <w:t>、教育学院等，</w:t>
      </w:r>
      <w:r w:rsidRPr="00783756">
        <w:rPr>
          <w:rFonts w:ascii="SimSun" w:eastAsia="SimSun" w:hAnsi="SimSun" w:cs="Times New Roman" w:hint="eastAsia"/>
          <w:color w:val="593939"/>
          <w:sz w:val="24"/>
          <w:szCs w:val="24"/>
        </w:rPr>
        <w:t>具体专业是：工商管理（</w:t>
      </w:r>
      <w:r w:rsidRPr="00783756">
        <w:rPr>
          <w:rFonts w:ascii="SimSun" w:eastAsia="SimSun" w:hAnsi="SimSun" w:cs="Times New Roman"/>
          <w:color w:val="593939"/>
          <w:sz w:val="24"/>
          <w:szCs w:val="24"/>
        </w:rPr>
        <w:t>Business Administration</w:t>
      </w:r>
      <w:r w:rsidRPr="00783756">
        <w:rPr>
          <w:rFonts w:ascii="SimSun" w:eastAsia="SimSun" w:hAnsi="SimSun" w:cs="Times New Roman" w:hint="eastAsia"/>
          <w:color w:val="593939"/>
          <w:sz w:val="24"/>
          <w:szCs w:val="24"/>
        </w:rPr>
        <w:t>）、会计学（</w:t>
      </w:r>
      <w:r w:rsidRPr="00783756">
        <w:rPr>
          <w:rFonts w:ascii="SimSun" w:eastAsia="SimSun" w:hAnsi="SimSun" w:cs="Times New Roman"/>
          <w:color w:val="593939"/>
          <w:sz w:val="24"/>
          <w:szCs w:val="24"/>
        </w:rPr>
        <w:t>Accounting</w:t>
      </w:r>
      <w:r w:rsidRPr="00783756">
        <w:rPr>
          <w:rFonts w:ascii="SimSun" w:eastAsia="SimSun" w:hAnsi="SimSun" w:cs="Times New Roman" w:hint="eastAsia"/>
          <w:color w:val="593939"/>
          <w:sz w:val="24"/>
          <w:szCs w:val="24"/>
        </w:rPr>
        <w:t>）、金融学（</w:t>
      </w:r>
      <w:r w:rsidRPr="00783756">
        <w:rPr>
          <w:rFonts w:ascii="SimSun" w:eastAsia="SimSun" w:hAnsi="SimSun" w:cs="Times New Roman"/>
          <w:color w:val="593939"/>
          <w:sz w:val="24"/>
          <w:szCs w:val="24"/>
        </w:rPr>
        <w:t>Finance</w:t>
      </w:r>
      <w:r w:rsidRPr="00783756">
        <w:rPr>
          <w:rFonts w:ascii="SimSun" w:eastAsia="SimSun" w:hAnsi="SimSun" w:cs="Times New Roman" w:hint="eastAsia"/>
          <w:color w:val="593939"/>
          <w:sz w:val="24"/>
          <w:szCs w:val="24"/>
        </w:rPr>
        <w:t>）、国际管理（</w:t>
      </w:r>
      <w:r w:rsidRPr="00783756">
        <w:rPr>
          <w:rFonts w:ascii="SimSun" w:eastAsia="SimSun" w:hAnsi="SimSun" w:cs="Times New Roman"/>
          <w:color w:val="593939"/>
          <w:sz w:val="24"/>
          <w:szCs w:val="24"/>
        </w:rPr>
        <w:t>International Management</w:t>
      </w:r>
      <w:r w:rsidRPr="00783756">
        <w:rPr>
          <w:rFonts w:ascii="SimSun" w:eastAsia="SimSun" w:hAnsi="SimSun" w:cs="Times New Roman" w:hint="eastAsia"/>
          <w:color w:val="593939"/>
          <w:sz w:val="24"/>
          <w:szCs w:val="24"/>
        </w:rPr>
        <w:t>）、信息科技（</w:t>
      </w:r>
      <w:r w:rsidRPr="00783756">
        <w:rPr>
          <w:rFonts w:ascii="SimSun" w:eastAsia="SimSun" w:hAnsi="SimSun" w:cs="Times New Roman"/>
          <w:color w:val="593939"/>
          <w:sz w:val="24"/>
          <w:szCs w:val="24"/>
        </w:rPr>
        <w:t>Information Technology</w:t>
      </w:r>
      <w:r w:rsidRPr="00783756">
        <w:rPr>
          <w:rFonts w:ascii="SimSun" w:eastAsia="SimSun" w:hAnsi="SimSun" w:cs="Times New Roman" w:hint="eastAsia"/>
          <w:color w:val="593939"/>
          <w:sz w:val="24"/>
          <w:szCs w:val="24"/>
        </w:rPr>
        <w:t>）、争端解决（Conflict Resolution）、国际关系（International Relations）、</w:t>
      </w:r>
      <w:r w:rsidR="008017E1" w:rsidRPr="00783756">
        <w:rPr>
          <w:rFonts w:ascii="SimSun" w:eastAsia="SimSun" w:hAnsi="SimSun" w:cs="Times New Roman" w:hint="eastAsia"/>
          <w:color w:val="593939"/>
          <w:sz w:val="24"/>
          <w:szCs w:val="24"/>
        </w:rPr>
        <w:t>公共事务（</w:t>
      </w:r>
      <w:r w:rsidR="008017E1" w:rsidRPr="00783756">
        <w:rPr>
          <w:rFonts w:ascii="SimSun" w:eastAsia="SimSun" w:hAnsi="SimSun" w:cs="Times New Roman"/>
          <w:color w:val="593939"/>
          <w:sz w:val="24"/>
          <w:szCs w:val="24"/>
        </w:rPr>
        <w:t>Public Affairs</w:t>
      </w:r>
      <w:r w:rsidR="008017E1" w:rsidRPr="00783756">
        <w:rPr>
          <w:rFonts w:ascii="SimSun" w:eastAsia="SimSun" w:hAnsi="SimSun" w:cs="Times New Roman" w:hint="eastAsia"/>
          <w:color w:val="593939"/>
          <w:sz w:val="24"/>
          <w:szCs w:val="24"/>
        </w:rPr>
        <w:t>）、</w:t>
      </w:r>
      <w:r w:rsidR="008017E1" w:rsidRPr="00E94B94">
        <w:rPr>
          <w:rFonts w:ascii="SimSun" w:eastAsia="SimSun" w:hAnsi="SimSun" w:cs="Times New Roman" w:hint="eastAsia"/>
          <w:color w:val="593939"/>
          <w:sz w:val="24"/>
          <w:szCs w:val="24"/>
        </w:rPr>
        <w:t>老龄人口服务（</w:t>
      </w:r>
      <w:r w:rsidR="008017E1" w:rsidRPr="00E94B94">
        <w:rPr>
          <w:rFonts w:ascii="SimSun" w:eastAsia="SimSun" w:hAnsi="SimSun" w:cs="Times New Roman"/>
          <w:color w:val="593939"/>
          <w:sz w:val="24"/>
          <w:szCs w:val="24"/>
        </w:rPr>
        <w:t>Management of Aging Services</w:t>
      </w:r>
      <w:r w:rsidR="008017E1" w:rsidRPr="00E94B94">
        <w:rPr>
          <w:rFonts w:ascii="SimSun" w:eastAsia="SimSun" w:hAnsi="SimSun" w:cs="Times New Roman" w:hint="eastAsia"/>
          <w:color w:val="593939"/>
          <w:sz w:val="24"/>
          <w:szCs w:val="24"/>
        </w:rPr>
        <w:t>）、人口老龄化研究、政策（</w:t>
      </w:r>
      <w:r w:rsidR="008017E1" w:rsidRPr="00E94B94">
        <w:rPr>
          <w:rFonts w:ascii="SimSun" w:eastAsia="SimSun" w:hAnsi="SimSun" w:cs="Times New Roman"/>
          <w:color w:val="593939"/>
          <w:sz w:val="24"/>
          <w:szCs w:val="24"/>
        </w:rPr>
        <w:t>Gerontology Research/Policy</w:t>
      </w:r>
      <w:r w:rsidR="008017E1" w:rsidRPr="00E94B94">
        <w:rPr>
          <w:rFonts w:ascii="SimSun" w:eastAsia="SimSun" w:hAnsi="SimSun" w:cs="Times New Roman" w:hint="eastAsia"/>
          <w:color w:val="593939"/>
          <w:sz w:val="24"/>
          <w:szCs w:val="24"/>
        </w:rPr>
        <w:t>）</w:t>
      </w:r>
      <w:r w:rsidR="005C6428">
        <w:rPr>
          <w:rFonts w:ascii="SimSun" w:eastAsia="SimSun" w:hAnsi="SimSun" w:cs="Times New Roman" w:hint="eastAsia"/>
          <w:color w:val="593939"/>
          <w:sz w:val="24"/>
          <w:szCs w:val="24"/>
        </w:rPr>
        <w:t>、教育管理</w:t>
      </w:r>
      <w:r w:rsidR="000575B7">
        <w:rPr>
          <w:rFonts w:ascii="SimSun" w:eastAsia="SimSun" w:hAnsi="SimSun" w:cs="Times New Roman" w:hint="eastAsia"/>
          <w:color w:val="593939"/>
          <w:sz w:val="24"/>
          <w:szCs w:val="24"/>
        </w:rPr>
        <w:t>（E</w:t>
      </w:r>
      <w:r w:rsidR="000575B7">
        <w:rPr>
          <w:rFonts w:ascii="SimSun" w:eastAsia="SimSun" w:hAnsi="SimSun" w:cs="Times New Roman"/>
          <w:color w:val="593939"/>
          <w:sz w:val="24"/>
          <w:szCs w:val="24"/>
        </w:rPr>
        <w:t>ducational Administration</w:t>
      </w:r>
      <w:r w:rsidR="000575B7">
        <w:rPr>
          <w:rFonts w:ascii="SimSun" w:eastAsia="SimSun" w:hAnsi="SimSun" w:cs="Times New Roman" w:hint="eastAsia"/>
          <w:color w:val="593939"/>
          <w:sz w:val="24"/>
          <w:szCs w:val="24"/>
        </w:rPr>
        <w:t>）</w:t>
      </w:r>
    </w:p>
    <w:p w:rsidR="00370131" w:rsidRPr="00783756" w:rsidRDefault="008017E1" w:rsidP="000575B7">
      <w:pPr>
        <w:pStyle w:val="ListParagraph"/>
        <w:numPr>
          <w:ilvl w:val="0"/>
          <w:numId w:val="1"/>
        </w:numPr>
        <w:shd w:val="clear" w:color="auto" w:fill="FFFFFF"/>
        <w:snapToGrid w:val="0"/>
        <w:spacing w:after="0" w:line="360" w:lineRule="auto"/>
        <w:contextualSpacing w:val="0"/>
        <w:rPr>
          <w:rFonts w:ascii="SimSun" w:eastAsia="SimSun" w:hAnsi="SimSun" w:cs="Times New Roman"/>
          <w:b/>
          <w:color w:val="593939"/>
          <w:sz w:val="24"/>
          <w:szCs w:val="24"/>
        </w:rPr>
      </w:pPr>
      <w:r w:rsidRPr="00783756">
        <w:rPr>
          <w:rFonts w:ascii="SimSun" w:eastAsia="SimSun" w:hAnsi="SimSun" w:cs="Times New Roman" w:hint="eastAsia"/>
          <w:b/>
          <w:color w:val="593939"/>
          <w:sz w:val="24"/>
          <w:szCs w:val="24"/>
        </w:rPr>
        <w:t>申请条件</w:t>
      </w:r>
      <w:bookmarkStart w:id="0" w:name="_GoBack"/>
      <w:bookmarkEnd w:id="0"/>
    </w:p>
    <w:p w:rsidR="008017E1" w:rsidRPr="00783756" w:rsidRDefault="008017E1" w:rsidP="00E92D86">
      <w:pPr>
        <w:shd w:val="clear" w:color="auto" w:fill="FFFFFF"/>
        <w:snapToGrid w:val="0"/>
        <w:spacing w:after="0" w:line="360" w:lineRule="auto"/>
        <w:ind w:firstLineChars="200" w:firstLine="480"/>
        <w:rPr>
          <w:rFonts w:ascii="Times New Roman" w:eastAsia="Times New Roman" w:hAnsi="Times New Roman" w:cs="Times New Roman"/>
          <w:color w:val="593939"/>
          <w:sz w:val="24"/>
          <w:szCs w:val="24"/>
        </w:rPr>
      </w:pPr>
      <w:r w:rsidRPr="00783756">
        <w:rPr>
          <w:rFonts w:ascii="SimSun" w:eastAsia="SimSun" w:hAnsi="SimSun" w:cs="Times New Roman" w:hint="eastAsia"/>
          <w:color w:val="593939"/>
          <w:sz w:val="24"/>
          <w:szCs w:val="24"/>
        </w:rPr>
        <w:t>中国人民大学本科四年级学生，报考中国人民大学硕士研究生并通过复试分数线而未被中国人民大学录取的学生均可报名。</w:t>
      </w:r>
      <w:r w:rsidR="00824C75">
        <w:rPr>
          <w:rFonts w:ascii="SimSun" w:eastAsia="SimSun" w:hAnsi="SimSun" w:cs="Times New Roman" w:hint="eastAsia"/>
          <w:color w:val="593939"/>
          <w:sz w:val="24"/>
          <w:szCs w:val="24"/>
        </w:rPr>
        <w:t>申请者至少应具有如下条件：平均学分积</w:t>
      </w:r>
      <w:r w:rsidR="00861F2A">
        <w:rPr>
          <w:rFonts w:ascii="SimSun" w:eastAsia="SimSun" w:hAnsi="SimSun" w:cs="Times New Roman" w:hint="eastAsia"/>
          <w:color w:val="593939"/>
          <w:sz w:val="24"/>
          <w:szCs w:val="24"/>
        </w:rPr>
        <w:t>应</w:t>
      </w:r>
      <w:r w:rsidRPr="00783756">
        <w:rPr>
          <w:rFonts w:ascii="SimSun" w:eastAsia="SimSun" w:hAnsi="SimSun" w:cs="Times New Roman" w:hint="eastAsia"/>
          <w:color w:val="593939"/>
          <w:sz w:val="24"/>
          <w:szCs w:val="24"/>
        </w:rPr>
        <w:t>达到</w:t>
      </w:r>
      <w:r w:rsidR="00824C75">
        <w:rPr>
          <w:rFonts w:ascii="SimSun" w:eastAsia="SimSun" w:hAnsi="SimSun" w:cs="Times New Roman" w:hint="eastAsia"/>
          <w:color w:val="593939"/>
          <w:sz w:val="24"/>
          <w:szCs w:val="24"/>
        </w:rPr>
        <w:t>2.75</w:t>
      </w:r>
      <w:r w:rsidRPr="00783756">
        <w:rPr>
          <w:rFonts w:ascii="SimSun" w:eastAsia="SimSun" w:hAnsi="SimSun" w:cs="Times New Roman" w:hint="eastAsia"/>
          <w:color w:val="593939"/>
          <w:sz w:val="24"/>
          <w:szCs w:val="24"/>
        </w:rPr>
        <w:t>。身心健康，能适应国外的学习和生活</w:t>
      </w:r>
      <w:r w:rsidR="00E94B94">
        <w:rPr>
          <w:rFonts w:ascii="SimSun" w:eastAsia="SimSun" w:hAnsi="SimSun" w:cs="Times New Roman" w:hint="eastAsia"/>
          <w:color w:val="593939"/>
          <w:sz w:val="24"/>
          <w:szCs w:val="24"/>
        </w:rPr>
        <w:t>；</w:t>
      </w:r>
      <w:r w:rsidRPr="00783756">
        <w:rPr>
          <w:rFonts w:ascii="Calibri" w:eastAsia="SimSun" w:hAnsi="Calibri" w:cs="Times New Roman" w:hint="eastAsia"/>
          <w:color w:val="593939"/>
          <w:sz w:val="24"/>
          <w:szCs w:val="24"/>
        </w:rPr>
        <w:t>有较强的英语能力，能够熟练的使用英语进行听课、讨论、作业等，托福成绩</w:t>
      </w:r>
      <w:r w:rsidR="00824C75">
        <w:rPr>
          <w:rFonts w:ascii="Calibri" w:eastAsia="SimSun" w:hAnsi="Calibri" w:cs="Times New Roman" w:hint="eastAsia"/>
          <w:color w:val="593939"/>
          <w:sz w:val="24"/>
          <w:szCs w:val="24"/>
        </w:rPr>
        <w:t>90</w:t>
      </w:r>
      <w:r w:rsidRPr="00783756">
        <w:rPr>
          <w:rFonts w:ascii="Calibri" w:eastAsia="SimSun" w:hAnsi="Calibri" w:cs="Times New Roman" w:hint="eastAsia"/>
          <w:color w:val="593939"/>
          <w:sz w:val="24"/>
          <w:szCs w:val="24"/>
        </w:rPr>
        <w:t>分、雅思最低</w:t>
      </w:r>
      <w:r w:rsidR="00824C75">
        <w:rPr>
          <w:rFonts w:ascii="Calibri" w:eastAsia="SimSun" w:hAnsi="Calibri" w:cs="Times New Roman" w:hint="eastAsia"/>
          <w:color w:val="593939"/>
          <w:sz w:val="24"/>
          <w:szCs w:val="24"/>
        </w:rPr>
        <w:t>6.5</w:t>
      </w:r>
      <w:r w:rsidRPr="00783756">
        <w:rPr>
          <w:rFonts w:ascii="Calibri" w:eastAsia="SimSun" w:hAnsi="Calibri" w:cs="Times New Roman" w:hint="eastAsia"/>
          <w:color w:val="593939"/>
          <w:sz w:val="24"/>
          <w:szCs w:val="24"/>
        </w:rPr>
        <w:t>分，如无托福、雅思成绩，需大学英语六级考试最低</w:t>
      </w:r>
      <w:r w:rsidRPr="00783756">
        <w:rPr>
          <w:rFonts w:ascii="Calibri" w:eastAsia="SimSun" w:hAnsi="Calibri" w:cs="Times New Roman" w:hint="eastAsia"/>
          <w:color w:val="593939"/>
          <w:sz w:val="24"/>
          <w:szCs w:val="24"/>
        </w:rPr>
        <w:t>4</w:t>
      </w:r>
      <w:r w:rsidR="00E94B94">
        <w:rPr>
          <w:rFonts w:ascii="Calibri" w:eastAsia="SimSun" w:hAnsi="Calibri" w:cs="Times New Roman" w:hint="eastAsia"/>
          <w:color w:val="593939"/>
          <w:sz w:val="24"/>
          <w:szCs w:val="24"/>
        </w:rPr>
        <w:t>0</w:t>
      </w:r>
      <w:r w:rsidRPr="00783756">
        <w:rPr>
          <w:rFonts w:ascii="Calibri" w:eastAsia="SimSun" w:hAnsi="Calibri" w:cs="Times New Roman" w:hint="eastAsia"/>
          <w:color w:val="593939"/>
          <w:sz w:val="24"/>
          <w:szCs w:val="24"/>
        </w:rPr>
        <w:t>0</w:t>
      </w:r>
      <w:r w:rsidRPr="00783756">
        <w:rPr>
          <w:rFonts w:ascii="Calibri" w:eastAsia="SimSun" w:hAnsi="Calibri" w:cs="Times New Roman" w:hint="eastAsia"/>
          <w:color w:val="593939"/>
          <w:sz w:val="24"/>
          <w:szCs w:val="24"/>
        </w:rPr>
        <w:t>分。</w:t>
      </w:r>
      <w:r w:rsidR="002800D3">
        <w:rPr>
          <w:rFonts w:ascii="Calibri" w:eastAsia="SimSun" w:hAnsi="Calibri" w:cs="Times New Roman" w:hint="eastAsia"/>
          <w:color w:val="593939"/>
          <w:sz w:val="24"/>
          <w:szCs w:val="24"/>
        </w:rPr>
        <w:t>具体条件以</w:t>
      </w:r>
      <w:r w:rsidR="00E94B94">
        <w:rPr>
          <w:rFonts w:ascii="Calibri" w:eastAsia="SimSun" w:hAnsi="Calibri" w:cs="Times New Roman" w:hint="eastAsia"/>
          <w:color w:val="593939"/>
          <w:sz w:val="24"/>
          <w:szCs w:val="24"/>
        </w:rPr>
        <w:t>附件</w:t>
      </w:r>
      <w:r w:rsidR="002800D3">
        <w:rPr>
          <w:rFonts w:ascii="Calibri" w:eastAsia="SimSun" w:hAnsi="Calibri" w:cs="Times New Roman" w:hint="eastAsia"/>
          <w:color w:val="593939"/>
          <w:sz w:val="24"/>
          <w:szCs w:val="24"/>
        </w:rPr>
        <w:t>3</w:t>
      </w:r>
      <w:r w:rsidR="002800D3">
        <w:rPr>
          <w:rFonts w:ascii="Calibri" w:eastAsia="SimSun" w:hAnsi="Calibri" w:cs="Times New Roman" w:hint="eastAsia"/>
          <w:color w:val="593939"/>
          <w:sz w:val="24"/>
          <w:szCs w:val="24"/>
        </w:rPr>
        <w:t>和附件</w:t>
      </w:r>
      <w:r w:rsidR="002800D3">
        <w:rPr>
          <w:rFonts w:ascii="Calibri" w:eastAsia="SimSun" w:hAnsi="Calibri" w:cs="Times New Roman" w:hint="eastAsia"/>
          <w:color w:val="593939"/>
          <w:sz w:val="24"/>
          <w:szCs w:val="24"/>
        </w:rPr>
        <w:t>4</w:t>
      </w:r>
      <w:r w:rsidR="002800D3">
        <w:rPr>
          <w:rFonts w:ascii="Calibri" w:eastAsia="SimSun" w:hAnsi="Calibri" w:cs="Times New Roman" w:hint="eastAsia"/>
          <w:color w:val="593939"/>
          <w:sz w:val="24"/>
          <w:szCs w:val="24"/>
        </w:rPr>
        <w:t>为准</w:t>
      </w:r>
      <w:r w:rsidR="00E94B94">
        <w:rPr>
          <w:rFonts w:ascii="Calibri" w:eastAsia="SimSun" w:hAnsi="Calibri" w:cs="Times New Roman" w:hint="eastAsia"/>
          <w:color w:val="593939"/>
          <w:sz w:val="24"/>
          <w:szCs w:val="24"/>
        </w:rPr>
        <w:t>。</w:t>
      </w:r>
    </w:p>
    <w:p w:rsidR="008017E1" w:rsidRPr="00783756" w:rsidRDefault="008017E1" w:rsidP="00E92D86">
      <w:pPr>
        <w:pStyle w:val="ListParagraph"/>
        <w:numPr>
          <w:ilvl w:val="0"/>
          <w:numId w:val="1"/>
        </w:numPr>
        <w:shd w:val="clear" w:color="auto" w:fill="FFFFFF"/>
        <w:snapToGrid w:val="0"/>
        <w:spacing w:after="0" w:line="360" w:lineRule="auto"/>
        <w:contextualSpacing w:val="0"/>
        <w:rPr>
          <w:rFonts w:ascii="SimSun" w:eastAsia="SimSun" w:hAnsi="SimSun" w:cs="Times New Roman"/>
          <w:b/>
          <w:color w:val="593939"/>
          <w:sz w:val="24"/>
          <w:szCs w:val="24"/>
        </w:rPr>
      </w:pPr>
      <w:r w:rsidRPr="00783756">
        <w:rPr>
          <w:rFonts w:ascii="SimSun" w:eastAsia="SimSun" w:hAnsi="SimSun" w:cs="Times New Roman" w:hint="eastAsia"/>
          <w:b/>
          <w:color w:val="593939"/>
          <w:sz w:val="24"/>
          <w:szCs w:val="24"/>
        </w:rPr>
        <w:t>申请程序</w:t>
      </w:r>
    </w:p>
    <w:p w:rsidR="008017E1" w:rsidRPr="00783756" w:rsidRDefault="008017E1" w:rsidP="00E92D86">
      <w:pPr>
        <w:shd w:val="clear" w:color="auto" w:fill="FFFFFF"/>
        <w:snapToGrid w:val="0"/>
        <w:spacing w:after="0" w:line="360" w:lineRule="auto"/>
        <w:ind w:firstLineChars="200" w:firstLine="480"/>
        <w:rPr>
          <w:rFonts w:ascii="SimSun" w:eastAsia="SimSun" w:hAnsi="SimSun" w:cs="Times New Roman"/>
          <w:color w:val="593939"/>
          <w:sz w:val="24"/>
          <w:szCs w:val="24"/>
        </w:rPr>
      </w:pPr>
      <w:r w:rsidRPr="00783756">
        <w:rPr>
          <w:rFonts w:ascii="SimSun" w:eastAsia="SimSun" w:hAnsi="SimSun" w:cs="Times New Roman" w:hint="eastAsia"/>
          <w:color w:val="593939"/>
          <w:sz w:val="24"/>
          <w:szCs w:val="24"/>
        </w:rPr>
        <w:t>申请者需在3月26日</w:t>
      </w:r>
      <w:r w:rsidR="00861F2A">
        <w:rPr>
          <w:rFonts w:ascii="SimSun" w:eastAsia="SimSun" w:hAnsi="SimSun" w:cs="Times New Roman" w:hint="eastAsia"/>
          <w:color w:val="593939"/>
          <w:sz w:val="24"/>
          <w:szCs w:val="24"/>
        </w:rPr>
        <w:t>（含）</w:t>
      </w:r>
      <w:r w:rsidRPr="00783756">
        <w:rPr>
          <w:rFonts w:ascii="SimSun" w:eastAsia="SimSun" w:hAnsi="SimSun" w:cs="Times New Roman" w:hint="eastAsia"/>
          <w:color w:val="593939"/>
          <w:sz w:val="24"/>
          <w:szCs w:val="24"/>
        </w:rPr>
        <w:t>前提交申请书、相关证明等</w:t>
      </w:r>
      <w:r w:rsidR="00E94B94">
        <w:rPr>
          <w:rFonts w:ascii="SimSun" w:eastAsia="SimSun" w:hAnsi="SimSun" w:cs="Times New Roman" w:hint="eastAsia"/>
          <w:color w:val="593939"/>
          <w:sz w:val="24"/>
          <w:szCs w:val="24"/>
        </w:rPr>
        <w:t>，具体提交材料</w:t>
      </w:r>
      <w:r w:rsidRPr="00783756">
        <w:rPr>
          <w:rFonts w:ascii="SimSun" w:eastAsia="SimSun" w:hAnsi="SimSun" w:cs="Times New Roman" w:hint="eastAsia"/>
          <w:color w:val="593939"/>
          <w:sz w:val="24"/>
          <w:szCs w:val="24"/>
        </w:rPr>
        <w:t>。</w:t>
      </w:r>
      <w:r w:rsidR="00E94B94">
        <w:rPr>
          <w:rFonts w:ascii="SimSun" w:eastAsia="SimSun" w:hAnsi="SimSun" w:cs="Times New Roman" w:hint="eastAsia"/>
          <w:color w:val="593939"/>
          <w:sz w:val="24"/>
          <w:szCs w:val="24"/>
        </w:rPr>
        <w:t>所有材料需在线提交</w:t>
      </w:r>
      <w:hyperlink r:id="rId5" w:tgtFrame="_blank" w:history="1">
        <w:r w:rsidR="00E94B94">
          <w:rPr>
            <w:rFonts w:ascii="Calibri" w:eastAsia="Microsoft YaHei" w:hAnsi="Calibri" w:hint="eastAsia"/>
            <w:color w:val="0000FF"/>
            <w:u w:val="single"/>
            <w:shd w:val="clear" w:color="auto" w:fill="FFFFFF"/>
          </w:rPr>
          <w:t>http://www.umb.edu/admissions/grad/apply</w:t>
        </w:r>
      </w:hyperlink>
      <w:r w:rsidR="0098089F">
        <w:rPr>
          <w:rFonts w:ascii="SimSun" w:eastAsia="SimSun" w:hAnsi="SimSun" w:cs="Times New Roman" w:hint="eastAsia"/>
          <w:color w:val="593939"/>
          <w:sz w:val="24"/>
          <w:szCs w:val="24"/>
        </w:rPr>
        <w:t>，并</w:t>
      </w:r>
      <w:r w:rsidR="00E94B94">
        <w:rPr>
          <w:rFonts w:ascii="SimSun" w:eastAsia="SimSun" w:hAnsi="SimSun" w:cs="Times New Roman" w:hint="eastAsia"/>
          <w:color w:val="593939"/>
          <w:sz w:val="24"/>
          <w:szCs w:val="24"/>
        </w:rPr>
        <w:t>同时</w:t>
      </w:r>
      <w:r w:rsidR="002800D3">
        <w:rPr>
          <w:rFonts w:ascii="SimSun" w:eastAsia="SimSun" w:hAnsi="SimSun" w:cs="Times New Roman" w:hint="eastAsia"/>
          <w:color w:val="593939"/>
          <w:sz w:val="24"/>
          <w:szCs w:val="24"/>
        </w:rPr>
        <w:t>将申请材料电子版发送</w:t>
      </w:r>
      <w:r w:rsidR="0098089F">
        <w:rPr>
          <w:rFonts w:ascii="SimSun" w:eastAsia="SimSun" w:hAnsi="SimSun" w:cs="Times New Roman" w:hint="eastAsia"/>
          <w:color w:val="593939"/>
          <w:sz w:val="24"/>
          <w:szCs w:val="24"/>
        </w:rPr>
        <w:t xml:space="preserve">至 </w:t>
      </w:r>
      <w:hyperlink r:id="rId6" w:history="1">
        <w:r w:rsidR="0098089F" w:rsidRPr="0098089F">
          <w:rPr>
            <w:rFonts w:ascii="SimSun" w:eastAsia="SimSun" w:hAnsi="SimSun" w:cs="Times New Roman"/>
            <w:color w:val="593939"/>
            <w:sz w:val="24"/>
            <w:szCs w:val="24"/>
          </w:rPr>
          <w:t>Michael.Alderman@umb.edu</w:t>
        </w:r>
      </w:hyperlink>
      <w:r w:rsidR="0098089F" w:rsidRPr="0098089F">
        <w:rPr>
          <w:rFonts w:ascii="SimSun" w:eastAsia="SimSun" w:hAnsi="SimSun" w:cs="Times New Roman" w:hint="eastAsia"/>
          <w:color w:val="593939"/>
          <w:sz w:val="24"/>
          <w:szCs w:val="24"/>
        </w:rPr>
        <w:t>和chengyun.liu@umb.edu，邮件请以“</w:t>
      </w:r>
      <w:proofErr w:type="spellStart"/>
      <w:r w:rsidR="0098089F" w:rsidRPr="0098089F">
        <w:rPr>
          <w:rFonts w:ascii="SimSun" w:eastAsia="SimSun" w:hAnsi="SimSun" w:cs="Times New Roman" w:hint="eastAsia"/>
          <w:color w:val="593939"/>
          <w:sz w:val="24"/>
          <w:szCs w:val="24"/>
        </w:rPr>
        <w:t>Renmin</w:t>
      </w:r>
      <w:proofErr w:type="spellEnd"/>
      <w:r w:rsidR="0098089F" w:rsidRPr="0098089F">
        <w:rPr>
          <w:rFonts w:ascii="SimSun" w:eastAsia="SimSun" w:hAnsi="SimSun" w:cs="Times New Roman" w:hint="eastAsia"/>
          <w:color w:val="593939"/>
          <w:sz w:val="24"/>
          <w:szCs w:val="24"/>
        </w:rPr>
        <w:t>-Major”为标题。</w:t>
      </w:r>
      <w:r w:rsidR="00E94B94">
        <w:rPr>
          <w:rFonts w:ascii="SimSun" w:eastAsia="SimSun" w:hAnsi="SimSun" w:cs="Times New Roman" w:hint="eastAsia"/>
          <w:color w:val="593939"/>
          <w:sz w:val="24"/>
          <w:szCs w:val="24"/>
        </w:rPr>
        <w:t>关于此项目的问题也请联系</w:t>
      </w:r>
      <w:hyperlink r:id="rId7" w:history="1">
        <w:r w:rsidR="00E94B94" w:rsidRPr="0098089F">
          <w:rPr>
            <w:rFonts w:ascii="SimSun" w:eastAsia="SimSun" w:hAnsi="SimSun" w:cs="Times New Roman"/>
            <w:color w:val="593939"/>
            <w:sz w:val="24"/>
            <w:szCs w:val="24"/>
          </w:rPr>
          <w:t>Michael.Alderman@umb.edu</w:t>
        </w:r>
      </w:hyperlink>
      <w:r w:rsidR="00E94B94">
        <w:rPr>
          <w:rFonts w:ascii="SimSun" w:eastAsia="SimSun" w:hAnsi="SimSun" w:cs="Times New Roman" w:hint="eastAsia"/>
          <w:color w:val="593939"/>
          <w:sz w:val="24"/>
          <w:szCs w:val="24"/>
        </w:rPr>
        <w:t>。</w:t>
      </w:r>
      <w:r w:rsidRPr="00783756">
        <w:rPr>
          <w:rFonts w:ascii="SimSun" w:eastAsia="SimSun" w:hAnsi="SimSun" w:cs="Times New Roman" w:hint="eastAsia"/>
          <w:color w:val="593939"/>
          <w:sz w:val="24"/>
          <w:szCs w:val="24"/>
        </w:rPr>
        <w:t>4月5日</w:t>
      </w:r>
      <w:r w:rsidR="00E94B94">
        <w:rPr>
          <w:rFonts w:ascii="SimSun" w:eastAsia="SimSun" w:hAnsi="SimSun" w:cs="Times New Roman" w:hint="eastAsia"/>
          <w:color w:val="593939"/>
          <w:sz w:val="24"/>
          <w:szCs w:val="24"/>
        </w:rPr>
        <w:t>和6日</w:t>
      </w:r>
      <w:r w:rsidRPr="00783756">
        <w:rPr>
          <w:rFonts w:ascii="SimSun" w:eastAsia="SimSun" w:hAnsi="SimSun" w:cs="Times New Roman" w:hint="eastAsia"/>
          <w:color w:val="593939"/>
          <w:sz w:val="24"/>
          <w:szCs w:val="24"/>
        </w:rPr>
        <w:t>，麻州大学波士顿分校将在中国人民大学对申请人进行面试。</w:t>
      </w:r>
    </w:p>
    <w:p w:rsidR="008017E1" w:rsidRPr="00783756" w:rsidRDefault="00E92D86" w:rsidP="00E92D86">
      <w:pPr>
        <w:pStyle w:val="ListParagraph"/>
        <w:numPr>
          <w:ilvl w:val="0"/>
          <w:numId w:val="1"/>
        </w:numPr>
        <w:shd w:val="clear" w:color="auto" w:fill="FFFFFF"/>
        <w:snapToGrid w:val="0"/>
        <w:spacing w:after="0" w:line="360" w:lineRule="auto"/>
        <w:contextualSpacing w:val="0"/>
        <w:rPr>
          <w:rFonts w:ascii="SimSun" w:eastAsia="SimSun" w:hAnsi="SimSun" w:cs="Times New Roman"/>
          <w:b/>
          <w:color w:val="593939"/>
          <w:sz w:val="24"/>
          <w:szCs w:val="24"/>
        </w:rPr>
      </w:pPr>
      <w:r w:rsidRPr="00783756">
        <w:rPr>
          <w:rFonts w:ascii="SimSun" w:eastAsia="SimSun" w:hAnsi="SimSun" w:cs="Times New Roman" w:hint="eastAsia"/>
          <w:b/>
          <w:color w:val="593939"/>
          <w:sz w:val="24"/>
          <w:szCs w:val="24"/>
        </w:rPr>
        <w:t>相关费用</w:t>
      </w:r>
    </w:p>
    <w:p w:rsidR="00E94B94" w:rsidRDefault="00E94B94" w:rsidP="00E94B94">
      <w:pPr>
        <w:shd w:val="clear" w:color="auto" w:fill="FFFFFF"/>
        <w:snapToGrid w:val="0"/>
        <w:spacing w:after="0" w:line="360" w:lineRule="auto"/>
        <w:ind w:firstLineChars="200" w:firstLine="480"/>
        <w:rPr>
          <w:rFonts w:ascii="SimSun" w:eastAsia="SimSun" w:hAnsi="SimSun" w:cs="Times New Roman"/>
          <w:color w:val="593939"/>
          <w:sz w:val="24"/>
          <w:szCs w:val="24"/>
        </w:rPr>
      </w:pPr>
      <w:r>
        <w:rPr>
          <w:rFonts w:ascii="SimSun" w:eastAsia="SimSun" w:hAnsi="SimSun" w:cs="Times New Roman" w:hint="eastAsia"/>
          <w:color w:val="593939"/>
          <w:sz w:val="24"/>
          <w:szCs w:val="24"/>
        </w:rPr>
        <w:lastRenderedPageBreak/>
        <w:t>在3月26日前申请</w:t>
      </w:r>
      <w:r w:rsidR="00E92D86" w:rsidRPr="00783756">
        <w:rPr>
          <w:rFonts w:ascii="SimSun" w:eastAsia="SimSun" w:hAnsi="SimSun" w:cs="Times New Roman" w:hint="eastAsia"/>
          <w:color w:val="593939"/>
          <w:sz w:val="24"/>
          <w:szCs w:val="24"/>
        </w:rPr>
        <w:t>本项目</w:t>
      </w:r>
      <w:r>
        <w:rPr>
          <w:rFonts w:ascii="SimSun" w:eastAsia="SimSun" w:hAnsi="SimSun" w:cs="Times New Roman" w:hint="eastAsia"/>
          <w:color w:val="593939"/>
          <w:sz w:val="24"/>
          <w:szCs w:val="24"/>
        </w:rPr>
        <w:t>者</w:t>
      </w:r>
      <w:r w:rsidR="00E92D86" w:rsidRPr="00783756">
        <w:rPr>
          <w:rFonts w:ascii="SimSun" w:eastAsia="SimSun" w:hAnsi="SimSun" w:cs="Times New Roman" w:hint="eastAsia"/>
          <w:color w:val="593939"/>
          <w:sz w:val="24"/>
          <w:szCs w:val="24"/>
        </w:rPr>
        <w:t>不</w:t>
      </w:r>
      <w:r>
        <w:rPr>
          <w:rFonts w:ascii="SimSun" w:eastAsia="SimSun" w:hAnsi="SimSun" w:cs="Times New Roman" w:hint="eastAsia"/>
          <w:color w:val="593939"/>
          <w:sz w:val="24"/>
          <w:szCs w:val="24"/>
        </w:rPr>
        <w:t>必缴纳</w:t>
      </w:r>
      <w:r w:rsidR="00E92D86" w:rsidRPr="00783756">
        <w:rPr>
          <w:rFonts w:ascii="SimSun" w:eastAsia="SimSun" w:hAnsi="SimSun" w:cs="Times New Roman" w:hint="eastAsia"/>
          <w:color w:val="593939"/>
          <w:sz w:val="24"/>
          <w:szCs w:val="24"/>
        </w:rPr>
        <w:t>申请费用</w:t>
      </w:r>
      <w:r w:rsidR="00861F2A">
        <w:rPr>
          <w:rFonts w:ascii="SimSun" w:eastAsia="SimSun" w:hAnsi="SimSun" w:cs="Times New Roman" w:hint="eastAsia"/>
          <w:color w:val="593939"/>
          <w:sz w:val="24"/>
          <w:szCs w:val="24"/>
        </w:rPr>
        <w:t>，面试表现优异者将获得麻州大学波士顿分校提供的奖学金</w:t>
      </w:r>
      <w:r w:rsidR="00E92D86" w:rsidRPr="00783756">
        <w:rPr>
          <w:rFonts w:ascii="SimSun" w:eastAsia="SimSun" w:hAnsi="SimSun" w:cs="Times New Roman" w:hint="eastAsia"/>
          <w:color w:val="593939"/>
          <w:sz w:val="24"/>
          <w:szCs w:val="24"/>
        </w:rPr>
        <w:t>。学费</w:t>
      </w:r>
      <w:r w:rsidRPr="008877C2">
        <w:rPr>
          <w:rFonts w:asciiTheme="majorHAnsi" w:eastAsia="Times New Roman" w:hAnsiTheme="majorHAnsi" w:cs="Arial"/>
          <w:color w:val="3A3A3A"/>
        </w:rPr>
        <w:t>9758</w:t>
      </w:r>
      <w:r w:rsidR="00E92D86" w:rsidRPr="00783756">
        <w:rPr>
          <w:rFonts w:ascii="SimSun" w:eastAsia="SimSun" w:hAnsi="SimSun" w:cs="Times New Roman" w:hint="eastAsia"/>
          <w:color w:val="593939"/>
          <w:sz w:val="24"/>
          <w:szCs w:val="24"/>
        </w:rPr>
        <w:t>美元，保险等费用</w:t>
      </w:r>
      <w:r>
        <w:rPr>
          <w:rFonts w:ascii="SimSun" w:eastAsia="SimSun" w:hAnsi="SimSun" w:cs="Times New Roman" w:hint="eastAsia"/>
          <w:color w:val="593939"/>
          <w:sz w:val="24"/>
          <w:szCs w:val="24"/>
        </w:rPr>
        <w:t>19121</w:t>
      </w:r>
      <w:r w:rsidR="00E92D86" w:rsidRPr="00783756">
        <w:rPr>
          <w:rFonts w:ascii="SimSun" w:eastAsia="SimSun" w:hAnsi="SimSun" w:cs="Times New Roman" w:hint="eastAsia"/>
          <w:color w:val="593939"/>
          <w:sz w:val="24"/>
          <w:szCs w:val="24"/>
        </w:rPr>
        <w:t>美元</w:t>
      </w:r>
      <w:r>
        <w:rPr>
          <w:rFonts w:ascii="SimSun" w:eastAsia="SimSun" w:hAnsi="SimSun" w:cs="Times New Roman" w:hint="eastAsia"/>
          <w:color w:val="593939"/>
          <w:sz w:val="24"/>
          <w:szCs w:val="24"/>
        </w:rPr>
        <w:t>，机票、房租等10200美元，</w:t>
      </w:r>
      <w:r w:rsidR="00E92D86" w:rsidRPr="00783756">
        <w:rPr>
          <w:rFonts w:ascii="SimSun" w:eastAsia="SimSun" w:hAnsi="SimSun" w:cs="Times New Roman" w:hint="eastAsia"/>
          <w:color w:val="593939"/>
          <w:sz w:val="24"/>
          <w:szCs w:val="24"/>
        </w:rPr>
        <w:t>书本费8</w:t>
      </w:r>
      <w:r>
        <w:rPr>
          <w:rFonts w:ascii="SimSun" w:eastAsia="SimSun" w:hAnsi="SimSun" w:cs="Times New Roman" w:hint="eastAsia"/>
          <w:color w:val="593939"/>
          <w:sz w:val="24"/>
          <w:szCs w:val="24"/>
        </w:rPr>
        <w:t>6</w:t>
      </w:r>
      <w:r w:rsidR="00E92D86" w:rsidRPr="00783756">
        <w:rPr>
          <w:rFonts w:ascii="SimSun" w:eastAsia="SimSun" w:hAnsi="SimSun" w:cs="Times New Roman" w:hint="eastAsia"/>
          <w:color w:val="593939"/>
          <w:sz w:val="24"/>
          <w:szCs w:val="24"/>
        </w:rPr>
        <w:t>0美元等</w:t>
      </w:r>
      <w:r w:rsidR="002800D3">
        <w:rPr>
          <w:rFonts w:ascii="SimSun" w:eastAsia="SimSun" w:hAnsi="SimSun" w:cs="Times New Roman" w:hint="eastAsia"/>
          <w:color w:val="593939"/>
          <w:sz w:val="24"/>
          <w:szCs w:val="24"/>
        </w:rPr>
        <w:t>，具体参见附件5</w:t>
      </w:r>
      <w:r w:rsidR="00E92D86" w:rsidRPr="00783756">
        <w:rPr>
          <w:rFonts w:ascii="SimSun" w:eastAsia="SimSun" w:hAnsi="SimSun" w:cs="Times New Roman" w:hint="eastAsia"/>
          <w:color w:val="593939"/>
          <w:sz w:val="24"/>
          <w:szCs w:val="24"/>
        </w:rPr>
        <w:t>。</w:t>
      </w:r>
    </w:p>
    <w:p w:rsidR="00E92D86" w:rsidRPr="00783756" w:rsidRDefault="00E92D86" w:rsidP="00E94B94">
      <w:pPr>
        <w:pStyle w:val="ListParagraph"/>
        <w:numPr>
          <w:ilvl w:val="0"/>
          <w:numId w:val="1"/>
        </w:numPr>
        <w:shd w:val="clear" w:color="auto" w:fill="FFFFFF"/>
        <w:snapToGrid w:val="0"/>
        <w:spacing w:after="0" w:line="360" w:lineRule="auto"/>
        <w:contextualSpacing w:val="0"/>
        <w:rPr>
          <w:rFonts w:ascii="SimSun" w:eastAsia="SimSun" w:hAnsi="SimSun" w:cs="Times New Roman"/>
          <w:b/>
          <w:color w:val="593939"/>
          <w:sz w:val="24"/>
          <w:szCs w:val="24"/>
        </w:rPr>
      </w:pPr>
      <w:r w:rsidRPr="00783756">
        <w:rPr>
          <w:rFonts w:ascii="SimSun" w:eastAsia="SimSun" w:hAnsi="SimSun" w:cs="Times New Roman" w:hint="eastAsia"/>
          <w:b/>
          <w:color w:val="593939"/>
          <w:sz w:val="24"/>
          <w:szCs w:val="24"/>
        </w:rPr>
        <w:t>其他事项</w:t>
      </w:r>
    </w:p>
    <w:p w:rsidR="00E92D86" w:rsidRPr="00783756" w:rsidRDefault="00E92D86" w:rsidP="00E92D86">
      <w:pPr>
        <w:shd w:val="clear" w:color="auto" w:fill="FFFFFF"/>
        <w:snapToGrid w:val="0"/>
        <w:spacing w:after="0" w:line="360" w:lineRule="auto"/>
        <w:ind w:firstLineChars="200" w:firstLine="480"/>
        <w:rPr>
          <w:rFonts w:ascii="SimSun" w:eastAsia="SimSun" w:hAnsi="SimSun" w:cs="Times New Roman"/>
          <w:color w:val="593939"/>
          <w:sz w:val="24"/>
          <w:szCs w:val="24"/>
        </w:rPr>
      </w:pPr>
      <w:r w:rsidRPr="00783756">
        <w:rPr>
          <w:rFonts w:ascii="SimSun" w:eastAsia="SimSun" w:hAnsi="SimSun" w:cs="Times New Roman" w:hint="eastAsia"/>
          <w:color w:val="593939"/>
          <w:sz w:val="24"/>
          <w:szCs w:val="24"/>
        </w:rPr>
        <w:t>已被中国人民大学录取的硕士研究生请不要申请此项目，可关注麻州大学波士顿分校即将与中国人民大学开展</w:t>
      </w:r>
      <w:r w:rsidR="00783756">
        <w:rPr>
          <w:rFonts w:ascii="SimSun" w:eastAsia="SimSun" w:hAnsi="SimSun" w:cs="Times New Roman" w:hint="eastAsia"/>
          <w:color w:val="593939"/>
          <w:sz w:val="24"/>
          <w:szCs w:val="24"/>
        </w:rPr>
        <w:t>的</w:t>
      </w:r>
      <w:r w:rsidRPr="00783756">
        <w:rPr>
          <w:rFonts w:ascii="SimSun" w:eastAsia="SimSun" w:hAnsi="SimSun" w:cs="Times New Roman" w:hint="eastAsia"/>
          <w:color w:val="593939"/>
          <w:sz w:val="24"/>
          <w:szCs w:val="24"/>
        </w:rPr>
        <w:t>硕士双学位联合培养项目。</w:t>
      </w:r>
    </w:p>
    <w:p w:rsidR="00E92D86" w:rsidRPr="00783756" w:rsidRDefault="00E92D86" w:rsidP="00E92D86">
      <w:pPr>
        <w:shd w:val="clear" w:color="auto" w:fill="FFFFFF"/>
        <w:snapToGrid w:val="0"/>
        <w:spacing w:after="0" w:line="360" w:lineRule="auto"/>
        <w:ind w:firstLineChars="200" w:firstLine="480"/>
        <w:rPr>
          <w:rFonts w:ascii="SimSun" w:eastAsia="SimSun" w:hAnsi="SimSun" w:cs="Times New Roman"/>
          <w:color w:val="593939"/>
          <w:sz w:val="24"/>
          <w:szCs w:val="24"/>
        </w:rPr>
      </w:pPr>
      <w:r w:rsidRPr="00783756">
        <w:rPr>
          <w:rFonts w:ascii="SimSun" w:eastAsia="SimSun" w:hAnsi="SimSun" w:cs="Times New Roman" w:hint="eastAsia"/>
          <w:color w:val="593939"/>
          <w:sz w:val="24"/>
          <w:szCs w:val="24"/>
        </w:rPr>
        <w:t>学生可同时申请</w:t>
      </w:r>
      <w:r w:rsidR="00E94B94">
        <w:rPr>
          <w:rFonts w:ascii="SimSun" w:eastAsia="SimSun" w:hAnsi="SimSun" w:cs="Times New Roman" w:hint="eastAsia"/>
          <w:color w:val="593939"/>
          <w:sz w:val="24"/>
          <w:szCs w:val="24"/>
        </w:rPr>
        <w:t>多</w:t>
      </w:r>
      <w:r w:rsidRPr="00783756">
        <w:rPr>
          <w:rFonts w:ascii="SimSun" w:eastAsia="SimSun" w:hAnsi="SimSun" w:cs="Times New Roman" w:hint="eastAsia"/>
          <w:color w:val="593939"/>
          <w:sz w:val="24"/>
          <w:szCs w:val="24"/>
        </w:rPr>
        <w:t>个项目，</w:t>
      </w:r>
      <w:r w:rsidR="00E94B94">
        <w:rPr>
          <w:rFonts w:ascii="SimSun" w:eastAsia="SimSun" w:hAnsi="SimSun" w:cs="Times New Roman" w:hint="eastAsia"/>
          <w:color w:val="593939"/>
          <w:sz w:val="24"/>
          <w:szCs w:val="24"/>
        </w:rPr>
        <w:t>但需分别提交申请</w:t>
      </w:r>
      <w:r w:rsidRPr="00783756">
        <w:rPr>
          <w:rFonts w:ascii="SimSun" w:eastAsia="SimSun" w:hAnsi="SimSun" w:cs="Times New Roman" w:hint="eastAsia"/>
          <w:color w:val="593939"/>
          <w:sz w:val="24"/>
          <w:szCs w:val="24"/>
        </w:rPr>
        <w:t>。</w:t>
      </w:r>
    </w:p>
    <w:p w:rsidR="00D50023" w:rsidRPr="00D50023" w:rsidRDefault="00D50023" w:rsidP="00E92D86">
      <w:pPr>
        <w:shd w:val="clear" w:color="auto" w:fill="FFFFFF"/>
        <w:snapToGrid w:val="0"/>
        <w:spacing w:after="0" w:line="360" w:lineRule="auto"/>
        <w:ind w:firstLineChars="200" w:firstLine="480"/>
        <w:rPr>
          <w:rFonts w:ascii="Times New Roman" w:eastAsia="Times New Roman" w:hAnsi="Times New Roman" w:cs="Times New Roman"/>
          <w:color w:val="593939"/>
          <w:sz w:val="24"/>
          <w:szCs w:val="24"/>
        </w:rPr>
      </w:pPr>
      <w:r w:rsidRPr="00D50023">
        <w:rPr>
          <w:rFonts w:ascii="SimSun" w:eastAsia="SimSun" w:hAnsi="SimSun" w:cs="Times New Roman" w:hint="eastAsia"/>
          <w:color w:val="593939"/>
          <w:sz w:val="24"/>
          <w:szCs w:val="24"/>
        </w:rPr>
        <w:t>录取后不得退出，若因学生个人原因退出的，3年内不得申请相关项目。</w:t>
      </w:r>
    </w:p>
    <w:p w:rsidR="00FE55E7" w:rsidRPr="00783756" w:rsidRDefault="000575B7" w:rsidP="00E92D86">
      <w:pPr>
        <w:snapToGrid w:val="0"/>
        <w:spacing w:after="0" w:line="360" w:lineRule="auto"/>
        <w:rPr>
          <w:rFonts w:ascii="Times New Roman" w:hAnsi="Times New Roman" w:cs="Times New Roman"/>
          <w:color w:val="593939"/>
          <w:sz w:val="24"/>
          <w:szCs w:val="24"/>
        </w:rPr>
      </w:pPr>
    </w:p>
    <w:p w:rsidR="00D50023" w:rsidRPr="00783756" w:rsidRDefault="00E92D86" w:rsidP="00E92D86">
      <w:pPr>
        <w:snapToGrid w:val="0"/>
        <w:spacing w:after="0" w:line="360" w:lineRule="auto"/>
        <w:rPr>
          <w:rFonts w:ascii="Times New Roman" w:hAnsi="Times New Roman" w:cs="Times New Roman"/>
          <w:color w:val="593939"/>
          <w:sz w:val="24"/>
          <w:szCs w:val="24"/>
        </w:rPr>
      </w:pPr>
      <w:r w:rsidRPr="00783756">
        <w:rPr>
          <w:rFonts w:ascii="Times New Roman" w:hAnsi="Times New Roman" w:cs="Times New Roman" w:hint="eastAsia"/>
          <w:color w:val="593939"/>
          <w:sz w:val="24"/>
          <w:szCs w:val="24"/>
        </w:rPr>
        <w:t>附</w:t>
      </w:r>
      <w:r w:rsidR="00861F2A">
        <w:rPr>
          <w:rFonts w:ascii="Times New Roman" w:hAnsi="Times New Roman" w:cs="Times New Roman" w:hint="eastAsia"/>
          <w:color w:val="593939"/>
          <w:sz w:val="24"/>
          <w:szCs w:val="24"/>
        </w:rPr>
        <w:t>1</w:t>
      </w:r>
      <w:r w:rsidRPr="00783756">
        <w:rPr>
          <w:rFonts w:ascii="Times New Roman" w:hAnsi="Times New Roman" w:cs="Times New Roman" w:hint="eastAsia"/>
          <w:color w:val="593939"/>
          <w:sz w:val="24"/>
          <w:szCs w:val="24"/>
        </w:rPr>
        <w:t>：</w:t>
      </w:r>
      <w:r w:rsidR="00D50023" w:rsidRPr="00783756">
        <w:rPr>
          <w:rFonts w:ascii="Times New Roman" w:hAnsi="Times New Roman" w:cs="Times New Roman" w:hint="eastAsia"/>
          <w:color w:val="593939"/>
          <w:sz w:val="24"/>
          <w:szCs w:val="24"/>
        </w:rPr>
        <w:t>麻州大学波士顿分校简介</w:t>
      </w:r>
    </w:p>
    <w:p w:rsidR="00D50023" w:rsidRDefault="00D50023" w:rsidP="00E92D86">
      <w:pPr>
        <w:shd w:val="clear" w:color="auto" w:fill="FFFFFF"/>
        <w:snapToGrid w:val="0"/>
        <w:spacing w:after="0" w:line="360" w:lineRule="auto"/>
        <w:rPr>
          <w:rFonts w:ascii="SimSun" w:eastAsia="SimSun" w:hAnsi="SimSun" w:cs="SimSun"/>
          <w:sz w:val="24"/>
          <w:szCs w:val="24"/>
        </w:rPr>
      </w:pPr>
      <w:r w:rsidRPr="00783756">
        <w:rPr>
          <w:rFonts w:ascii="Georgia" w:hAnsi="Georgia" w:cs="Arial" w:hint="eastAsia"/>
          <w:color w:val="3A3A3A"/>
          <w:sz w:val="24"/>
          <w:szCs w:val="24"/>
          <w:lang w:val="en"/>
        </w:rPr>
        <w:t xml:space="preserve">        </w:t>
      </w:r>
      <w:r w:rsidRPr="00783756">
        <w:rPr>
          <w:rFonts w:ascii="Georgia" w:hAnsi="Georgia" w:cs="Arial" w:hint="eastAsia"/>
          <w:color w:val="3A3A3A"/>
          <w:sz w:val="24"/>
          <w:szCs w:val="24"/>
          <w:lang w:val="en"/>
        </w:rPr>
        <w:t>马萨诸塞州立大学波士顿分校是全美公认的城市公立大学的典范，被伦敦时报评为</w:t>
      </w:r>
      <w:r w:rsidRPr="00783756">
        <w:rPr>
          <w:rFonts w:ascii="Georgia" w:hAnsi="Georgia" w:cs="Arial"/>
          <w:color w:val="3A3A3A"/>
          <w:sz w:val="24"/>
          <w:szCs w:val="24"/>
          <w:lang w:val="en"/>
        </w:rPr>
        <w:t>世界上最好的</w:t>
      </w:r>
      <w:r w:rsidRPr="00783756">
        <w:rPr>
          <w:rFonts w:ascii="Georgia" w:hAnsi="Georgia" w:cs="Arial"/>
          <w:color w:val="3A3A3A"/>
          <w:sz w:val="24"/>
          <w:szCs w:val="24"/>
          <w:lang w:val="en"/>
        </w:rPr>
        <w:t>50</w:t>
      </w:r>
      <w:r w:rsidRPr="00783756">
        <w:rPr>
          <w:rFonts w:ascii="Georgia" w:hAnsi="Georgia" w:cs="Arial"/>
          <w:color w:val="3A3A3A"/>
          <w:sz w:val="24"/>
          <w:szCs w:val="24"/>
          <w:lang w:val="en"/>
        </w:rPr>
        <w:t>所大学之一</w:t>
      </w:r>
      <w:r w:rsidRPr="00783756">
        <w:rPr>
          <w:rFonts w:ascii="Georgia" w:hAnsi="Georgia" w:cs="Arial" w:hint="eastAsia"/>
          <w:color w:val="3A3A3A"/>
          <w:sz w:val="24"/>
          <w:szCs w:val="24"/>
          <w:lang w:val="en"/>
        </w:rPr>
        <w:t>。学校位于世界教育名城波士顿，是当地唯一一所公立大学，所在地区有包括哈佛大学、麻省理工大学等世界名校在内的一百余所大学。校区风景优美，教学研究资源丰富，全校生师比为</w:t>
      </w:r>
      <w:r w:rsidRPr="00783756">
        <w:rPr>
          <w:rFonts w:ascii="Georgia" w:hAnsi="Georgia" w:cs="Arial" w:hint="eastAsia"/>
          <w:color w:val="3A3A3A"/>
          <w:sz w:val="24"/>
          <w:szCs w:val="24"/>
          <w:lang w:val="en"/>
        </w:rPr>
        <w:t>16:1</w:t>
      </w:r>
      <w:r w:rsidRPr="00783756">
        <w:rPr>
          <w:rFonts w:ascii="Georgia" w:hAnsi="Georgia" w:cs="Arial" w:hint="eastAsia"/>
          <w:color w:val="3A3A3A"/>
          <w:sz w:val="24"/>
          <w:szCs w:val="24"/>
          <w:lang w:val="en"/>
        </w:rPr>
        <w:t>，学校注意突出小学院架构和小班教学，</w:t>
      </w:r>
      <w:r w:rsidRPr="00783756">
        <w:rPr>
          <w:rFonts w:ascii="Georgia" w:hAnsi="Georgia" w:cs="Arial" w:hint="eastAsia"/>
          <w:color w:val="3A3A3A"/>
          <w:sz w:val="24"/>
          <w:szCs w:val="24"/>
          <w:lang w:val="en"/>
        </w:rPr>
        <w:t>93%</w:t>
      </w:r>
      <w:r w:rsidRPr="00783756">
        <w:rPr>
          <w:rFonts w:ascii="Georgia" w:hAnsi="Georgia" w:cs="Arial" w:hint="eastAsia"/>
          <w:color w:val="3A3A3A"/>
          <w:sz w:val="24"/>
          <w:szCs w:val="24"/>
          <w:lang w:val="en"/>
        </w:rPr>
        <w:t>教师具有博士学位。学校有</w:t>
      </w:r>
      <w:r w:rsidRPr="00783756">
        <w:rPr>
          <w:rFonts w:ascii="Georgia" w:hAnsi="Georgia" w:cs="Arial" w:hint="eastAsia"/>
          <w:color w:val="3A3A3A"/>
          <w:sz w:val="24"/>
          <w:szCs w:val="24"/>
          <w:lang w:val="en"/>
        </w:rPr>
        <w:t>16000</w:t>
      </w:r>
      <w:r w:rsidRPr="00783756">
        <w:rPr>
          <w:rFonts w:ascii="Georgia" w:hAnsi="Georgia" w:cs="Arial" w:hint="eastAsia"/>
          <w:color w:val="3A3A3A"/>
          <w:sz w:val="24"/>
          <w:szCs w:val="24"/>
          <w:lang w:val="en"/>
        </w:rPr>
        <w:t>名本科生和研究生，</w:t>
      </w:r>
      <w:r w:rsidRPr="00783756">
        <w:rPr>
          <w:rFonts w:ascii="Georgia" w:hAnsi="Georgia" w:cs="Arial" w:hint="eastAsia"/>
          <w:color w:val="3A3A3A"/>
          <w:sz w:val="24"/>
          <w:szCs w:val="24"/>
          <w:lang w:val="en"/>
        </w:rPr>
        <w:t>9</w:t>
      </w:r>
      <w:r w:rsidRPr="00783756">
        <w:rPr>
          <w:rFonts w:ascii="Georgia" w:hAnsi="Georgia" w:cs="Arial" w:hint="eastAsia"/>
          <w:color w:val="3A3A3A"/>
          <w:sz w:val="24"/>
          <w:szCs w:val="24"/>
          <w:lang w:val="en"/>
        </w:rPr>
        <w:t>个学院，</w:t>
      </w:r>
      <w:r w:rsidRPr="00783756">
        <w:rPr>
          <w:rFonts w:ascii="Georgia" w:hAnsi="Georgia" w:cs="Arial" w:hint="eastAsia"/>
          <w:color w:val="3A3A3A"/>
          <w:sz w:val="24"/>
          <w:szCs w:val="24"/>
          <w:lang w:val="en"/>
        </w:rPr>
        <w:t>90</w:t>
      </w:r>
      <w:r w:rsidRPr="00783756">
        <w:rPr>
          <w:rFonts w:ascii="Georgia" w:hAnsi="Georgia" w:cs="Arial" w:hint="eastAsia"/>
          <w:color w:val="3A3A3A"/>
          <w:sz w:val="24"/>
          <w:szCs w:val="24"/>
          <w:lang w:val="en"/>
        </w:rPr>
        <w:t>个本科专业，</w:t>
      </w:r>
      <w:r w:rsidRPr="00783756">
        <w:rPr>
          <w:rFonts w:ascii="Georgia" w:hAnsi="Georgia" w:cs="Arial" w:hint="eastAsia"/>
          <w:color w:val="3A3A3A"/>
          <w:sz w:val="24"/>
          <w:szCs w:val="24"/>
          <w:lang w:val="en"/>
        </w:rPr>
        <w:t>100</w:t>
      </w:r>
      <w:r w:rsidRPr="00783756">
        <w:rPr>
          <w:rFonts w:ascii="Georgia" w:hAnsi="Georgia" w:cs="Arial" w:hint="eastAsia"/>
          <w:color w:val="3A3A3A"/>
          <w:sz w:val="24"/>
          <w:szCs w:val="24"/>
          <w:lang w:val="en"/>
        </w:rPr>
        <w:t>个研究生项目。学校教师中有多名</w:t>
      </w:r>
      <w:r w:rsidRPr="00783756">
        <w:rPr>
          <w:rFonts w:ascii="SimSun" w:eastAsia="SimSun" w:hAnsi="SimSun" w:hint="eastAsia"/>
          <w:sz w:val="24"/>
          <w:szCs w:val="24"/>
        </w:rPr>
        <w:t>诺贝尔奖获得者、普利策新闻奖获得者，以及美国国家科学院和美国医学研究所会员。多名教师曾获得过美国国家级著名奖项，包括美国国家图书奖、富布莱特奖学金，古根海姆奖，麦克阿瑟奖和梅隆奖等。学校也是世界政坛领袖和学术领域名人的摇篮，美国现任总统奥巴马是学校法学院荣誉博士。学校</w:t>
      </w:r>
      <w:r w:rsidRPr="00783756">
        <w:rPr>
          <w:rFonts w:hint="eastAsia"/>
          <w:sz w:val="24"/>
          <w:szCs w:val="24"/>
        </w:rPr>
        <w:t>人文学院的</w:t>
      </w:r>
      <w:r w:rsidRPr="00783756">
        <w:rPr>
          <w:sz w:val="24"/>
          <w:szCs w:val="24"/>
        </w:rPr>
        <w:t>人类学、考古与历史学、社会</w:t>
      </w:r>
      <w:r w:rsidRPr="00783756">
        <w:rPr>
          <w:rFonts w:hint="eastAsia"/>
          <w:sz w:val="24"/>
          <w:szCs w:val="24"/>
        </w:rPr>
        <w:t>学</w:t>
      </w:r>
      <w:r w:rsidRPr="00783756">
        <w:rPr>
          <w:sz w:val="24"/>
          <w:szCs w:val="24"/>
        </w:rPr>
        <w:t>、哲学</w:t>
      </w:r>
      <w:r w:rsidRPr="00783756">
        <w:rPr>
          <w:rFonts w:hint="eastAsia"/>
          <w:sz w:val="24"/>
          <w:szCs w:val="24"/>
        </w:rPr>
        <w:t>、宗教学、</w:t>
      </w:r>
      <w:r w:rsidRPr="00783756">
        <w:rPr>
          <w:sz w:val="24"/>
          <w:szCs w:val="24"/>
        </w:rPr>
        <w:t>公共政策、政治学、心理学与社会学、亚洲研</w:t>
      </w:r>
      <w:r w:rsidRPr="00783756">
        <w:rPr>
          <w:rFonts w:ascii="SimSun" w:eastAsia="SimSun" w:hAnsi="SimSun" w:cs="SimSun" w:hint="eastAsia"/>
          <w:sz w:val="24"/>
          <w:szCs w:val="24"/>
        </w:rPr>
        <w:t>究等在全美专业排名位居前列。</w:t>
      </w:r>
      <w:r w:rsidR="0098089F">
        <w:rPr>
          <w:rFonts w:ascii="SimSun" w:eastAsia="SimSun" w:hAnsi="SimSun" w:cs="SimSun" w:hint="eastAsia"/>
          <w:sz w:val="24"/>
          <w:szCs w:val="24"/>
        </w:rPr>
        <w:t>学院主页www.umb.edu</w:t>
      </w:r>
    </w:p>
    <w:p w:rsidR="00783756" w:rsidRPr="00783756" w:rsidRDefault="00783756" w:rsidP="00E92D86">
      <w:pPr>
        <w:shd w:val="clear" w:color="auto" w:fill="FFFFFF"/>
        <w:snapToGrid w:val="0"/>
        <w:spacing w:after="0" w:line="360" w:lineRule="auto"/>
        <w:rPr>
          <w:rFonts w:ascii="SimSun" w:eastAsia="SimSun" w:hAnsi="SimSun" w:cs="SimSun"/>
          <w:sz w:val="24"/>
          <w:szCs w:val="24"/>
        </w:rPr>
      </w:pPr>
    </w:p>
    <w:p w:rsidR="00E92D86" w:rsidRDefault="00E92D86" w:rsidP="00E92D86">
      <w:pPr>
        <w:snapToGrid w:val="0"/>
        <w:spacing w:after="0" w:line="360" w:lineRule="auto"/>
        <w:rPr>
          <w:sz w:val="24"/>
          <w:szCs w:val="24"/>
        </w:rPr>
      </w:pPr>
      <w:r w:rsidRPr="00783756">
        <w:rPr>
          <w:rFonts w:hint="eastAsia"/>
          <w:sz w:val="24"/>
          <w:szCs w:val="24"/>
        </w:rPr>
        <w:t>附</w:t>
      </w:r>
      <w:r w:rsidR="00861F2A">
        <w:rPr>
          <w:rFonts w:hint="eastAsia"/>
          <w:sz w:val="24"/>
          <w:szCs w:val="24"/>
        </w:rPr>
        <w:t>2</w:t>
      </w:r>
      <w:r w:rsidRPr="00783756">
        <w:rPr>
          <w:rFonts w:hint="eastAsia"/>
          <w:sz w:val="24"/>
          <w:szCs w:val="24"/>
        </w:rPr>
        <w:t>：麻州大学波士顿分校在中国人民大学招生目录</w:t>
      </w:r>
    </w:p>
    <w:p w:rsidR="00861F2A" w:rsidRPr="00861F2A" w:rsidRDefault="00861F2A" w:rsidP="00861F2A">
      <w:pPr>
        <w:snapToGrid w:val="0"/>
        <w:spacing w:after="0" w:line="360" w:lineRule="auto"/>
        <w:rPr>
          <w:sz w:val="24"/>
          <w:szCs w:val="24"/>
        </w:rPr>
      </w:pPr>
      <w:r w:rsidRPr="00861F2A">
        <w:rPr>
          <w:sz w:val="24"/>
          <w:szCs w:val="24"/>
        </w:rPr>
        <w:t xml:space="preserve">UMB School of Management, </w:t>
      </w:r>
      <w:proofErr w:type="gramStart"/>
      <w:r w:rsidRPr="00861F2A">
        <w:rPr>
          <w:sz w:val="24"/>
          <w:szCs w:val="24"/>
        </w:rPr>
        <w:t>Graduate  Program</w:t>
      </w:r>
      <w:proofErr w:type="gramEnd"/>
      <w:r w:rsidRPr="00861F2A">
        <w:rPr>
          <w:sz w:val="24"/>
          <w:szCs w:val="24"/>
        </w:rPr>
        <w:t xml:space="preserve"> List</w:t>
      </w:r>
    </w:p>
    <w:p w:rsidR="00861F2A" w:rsidRPr="00861F2A" w:rsidRDefault="00861F2A" w:rsidP="00861F2A">
      <w:pPr>
        <w:snapToGrid w:val="0"/>
        <w:spacing w:after="0" w:line="360" w:lineRule="auto"/>
        <w:rPr>
          <w:sz w:val="24"/>
          <w:szCs w:val="24"/>
        </w:rPr>
      </w:pPr>
      <w:r w:rsidRPr="00861F2A">
        <w:rPr>
          <w:sz w:val="24"/>
          <w:szCs w:val="24"/>
        </w:rPr>
        <w:t>麻州大学波士顿分校管理学院硕士研究生专业一览</w:t>
      </w:r>
    </w:p>
    <w:tbl>
      <w:tblPr>
        <w:tblStyle w:val="TableGrid"/>
        <w:tblW w:w="0" w:type="auto"/>
        <w:tblLook w:val="04A0" w:firstRow="1" w:lastRow="0" w:firstColumn="1" w:lastColumn="0" w:noHBand="0" w:noVBand="1"/>
      </w:tblPr>
      <w:tblGrid>
        <w:gridCol w:w="1998"/>
        <w:gridCol w:w="1715"/>
        <w:gridCol w:w="5863"/>
      </w:tblGrid>
      <w:tr w:rsidR="00861F2A" w:rsidTr="00B65F86">
        <w:tc>
          <w:tcPr>
            <w:tcW w:w="1998" w:type="dxa"/>
          </w:tcPr>
          <w:p w:rsidR="00861F2A" w:rsidRPr="00D8112B" w:rsidRDefault="00861F2A" w:rsidP="00B65F86">
            <w:pPr>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t>Master of Business Administration (MBA)</w:t>
            </w:r>
          </w:p>
        </w:tc>
        <w:tc>
          <w:tcPr>
            <w:tcW w:w="1715" w:type="dxa"/>
          </w:tcPr>
          <w:p w:rsidR="00861F2A" w:rsidRDefault="00861F2A" w:rsidP="00B65F86">
            <w:pPr>
              <w:rPr>
                <w:sz w:val="24"/>
                <w:szCs w:val="24"/>
              </w:rPr>
            </w:pPr>
          </w:p>
          <w:p w:rsidR="00861F2A" w:rsidRPr="00813378" w:rsidRDefault="00861F2A" w:rsidP="00B65F86">
            <w:pPr>
              <w:rPr>
                <w:sz w:val="24"/>
                <w:szCs w:val="24"/>
              </w:rPr>
            </w:pPr>
            <w:r w:rsidRPr="00813378">
              <w:rPr>
                <w:rFonts w:hint="eastAsia"/>
                <w:sz w:val="24"/>
                <w:szCs w:val="24"/>
              </w:rPr>
              <w:t>工商管理硕士</w:t>
            </w:r>
          </w:p>
        </w:tc>
        <w:tc>
          <w:tcPr>
            <w:tcW w:w="5863" w:type="dxa"/>
          </w:tcPr>
          <w:p w:rsidR="00861F2A" w:rsidRDefault="00861F2A" w:rsidP="00B65F86"/>
          <w:p w:rsidR="00861F2A" w:rsidRDefault="000575B7" w:rsidP="00B65F86">
            <w:hyperlink r:id="rId8" w:history="1">
              <w:r w:rsidR="00861F2A">
                <w:rPr>
                  <w:rStyle w:val="Hyperlink"/>
                </w:rPr>
                <w:t>http://www.umb.edu/academics/cm/masters_programs/mba</w:t>
              </w:r>
            </w:hyperlink>
          </w:p>
        </w:tc>
      </w:tr>
      <w:tr w:rsidR="00861F2A" w:rsidTr="00B65F86">
        <w:tc>
          <w:tcPr>
            <w:tcW w:w="1998" w:type="dxa"/>
          </w:tcPr>
          <w:p w:rsidR="00861F2A" w:rsidRPr="00D8112B" w:rsidRDefault="00861F2A" w:rsidP="00B65F86">
            <w:pPr>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lastRenderedPageBreak/>
              <w:t>MS in Accounting</w:t>
            </w:r>
          </w:p>
        </w:tc>
        <w:tc>
          <w:tcPr>
            <w:tcW w:w="1715" w:type="dxa"/>
          </w:tcPr>
          <w:p w:rsidR="00861F2A" w:rsidRPr="00813378" w:rsidRDefault="00861F2A" w:rsidP="00B65F86">
            <w:pPr>
              <w:rPr>
                <w:sz w:val="24"/>
                <w:szCs w:val="24"/>
              </w:rPr>
            </w:pPr>
            <w:r w:rsidRPr="00813378">
              <w:rPr>
                <w:rFonts w:hint="eastAsia"/>
                <w:sz w:val="24"/>
                <w:szCs w:val="24"/>
              </w:rPr>
              <w:t>会计学硕士</w:t>
            </w:r>
          </w:p>
        </w:tc>
        <w:tc>
          <w:tcPr>
            <w:tcW w:w="5863" w:type="dxa"/>
          </w:tcPr>
          <w:p w:rsidR="00861F2A" w:rsidRDefault="00861F2A" w:rsidP="00B65F86"/>
          <w:p w:rsidR="00861F2A" w:rsidRDefault="000575B7" w:rsidP="00B65F86">
            <w:hyperlink r:id="rId9" w:history="1">
              <w:r w:rsidR="00861F2A">
                <w:rPr>
                  <w:rStyle w:val="Hyperlink"/>
                </w:rPr>
                <w:t>http://www.umb.edu/academics/cm/masters_programs/msa</w:t>
              </w:r>
            </w:hyperlink>
          </w:p>
        </w:tc>
      </w:tr>
      <w:tr w:rsidR="00861F2A" w:rsidTr="00B65F86">
        <w:tc>
          <w:tcPr>
            <w:tcW w:w="1998" w:type="dxa"/>
          </w:tcPr>
          <w:p w:rsidR="00861F2A" w:rsidRPr="00D8112B" w:rsidRDefault="00861F2A" w:rsidP="00B65F86">
            <w:pPr>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t>MS in Finance</w:t>
            </w:r>
          </w:p>
        </w:tc>
        <w:tc>
          <w:tcPr>
            <w:tcW w:w="1715" w:type="dxa"/>
          </w:tcPr>
          <w:p w:rsidR="00861F2A" w:rsidRPr="00813378" w:rsidRDefault="00861F2A" w:rsidP="00B65F86">
            <w:pPr>
              <w:rPr>
                <w:sz w:val="24"/>
                <w:szCs w:val="24"/>
              </w:rPr>
            </w:pPr>
            <w:r w:rsidRPr="00813378">
              <w:rPr>
                <w:rFonts w:hint="eastAsia"/>
                <w:sz w:val="24"/>
                <w:szCs w:val="24"/>
              </w:rPr>
              <w:t>金融学硕士</w:t>
            </w:r>
          </w:p>
        </w:tc>
        <w:tc>
          <w:tcPr>
            <w:tcW w:w="5863" w:type="dxa"/>
          </w:tcPr>
          <w:p w:rsidR="00861F2A" w:rsidRDefault="000575B7" w:rsidP="00B65F86">
            <w:hyperlink r:id="rId10" w:history="1">
              <w:r w:rsidR="00861F2A">
                <w:rPr>
                  <w:rStyle w:val="Hyperlink"/>
                </w:rPr>
                <w:t>http://www.umb.edu/academics/cm/masters_programs/msf</w:t>
              </w:r>
            </w:hyperlink>
          </w:p>
        </w:tc>
      </w:tr>
      <w:tr w:rsidR="00861F2A" w:rsidTr="00B65F86">
        <w:tc>
          <w:tcPr>
            <w:tcW w:w="1998" w:type="dxa"/>
          </w:tcPr>
          <w:p w:rsidR="00861F2A" w:rsidRPr="00D8112B" w:rsidRDefault="00861F2A" w:rsidP="00B65F86">
            <w:pPr>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t>MS in International Management</w:t>
            </w:r>
          </w:p>
        </w:tc>
        <w:tc>
          <w:tcPr>
            <w:tcW w:w="1715" w:type="dxa"/>
          </w:tcPr>
          <w:p w:rsidR="00861F2A" w:rsidRDefault="00861F2A" w:rsidP="00B65F86">
            <w:pPr>
              <w:rPr>
                <w:sz w:val="24"/>
                <w:szCs w:val="24"/>
              </w:rPr>
            </w:pPr>
          </w:p>
          <w:p w:rsidR="00861F2A" w:rsidRPr="00813378" w:rsidRDefault="00861F2A" w:rsidP="00B65F86">
            <w:pPr>
              <w:rPr>
                <w:sz w:val="24"/>
                <w:szCs w:val="24"/>
              </w:rPr>
            </w:pPr>
            <w:r w:rsidRPr="00813378">
              <w:rPr>
                <w:rFonts w:hint="eastAsia"/>
                <w:sz w:val="24"/>
                <w:szCs w:val="24"/>
              </w:rPr>
              <w:t>国际管理硕士</w:t>
            </w:r>
          </w:p>
        </w:tc>
        <w:tc>
          <w:tcPr>
            <w:tcW w:w="5863" w:type="dxa"/>
          </w:tcPr>
          <w:p w:rsidR="00861F2A" w:rsidRDefault="00861F2A" w:rsidP="00B65F86"/>
          <w:p w:rsidR="00861F2A" w:rsidRDefault="000575B7" w:rsidP="00B65F86">
            <w:hyperlink r:id="rId11" w:history="1">
              <w:r w:rsidR="00861F2A">
                <w:rPr>
                  <w:rStyle w:val="Hyperlink"/>
                </w:rPr>
                <w:t>http://www.umb.edu/academics/cm/masters_programs/msim</w:t>
              </w:r>
            </w:hyperlink>
          </w:p>
        </w:tc>
      </w:tr>
      <w:tr w:rsidR="00861F2A" w:rsidTr="00B65F86">
        <w:tc>
          <w:tcPr>
            <w:tcW w:w="1998" w:type="dxa"/>
          </w:tcPr>
          <w:p w:rsidR="00861F2A" w:rsidRPr="00D8112B" w:rsidRDefault="00861F2A" w:rsidP="00B65F86">
            <w:pPr>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t>MS in Information Technology</w:t>
            </w:r>
          </w:p>
        </w:tc>
        <w:tc>
          <w:tcPr>
            <w:tcW w:w="1715" w:type="dxa"/>
          </w:tcPr>
          <w:p w:rsidR="00861F2A" w:rsidRDefault="00861F2A" w:rsidP="00B65F86">
            <w:pPr>
              <w:rPr>
                <w:sz w:val="24"/>
                <w:szCs w:val="24"/>
              </w:rPr>
            </w:pPr>
          </w:p>
          <w:p w:rsidR="00861F2A" w:rsidRPr="00813378" w:rsidRDefault="00861F2A" w:rsidP="00B65F86">
            <w:pPr>
              <w:rPr>
                <w:sz w:val="24"/>
                <w:szCs w:val="24"/>
              </w:rPr>
            </w:pPr>
            <w:r w:rsidRPr="00813378">
              <w:rPr>
                <w:rFonts w:hint="eastAsia"/>
                <w:sz w:val="24"/>
                <w:szCs w:val="24"/>
              </w:rPr>
              <w:t>信息科技硕士</w:t>
            </w:r>
          </w:p>
        </w:tc>
        <w:tc>
          <w:tcPr>
            <w:tcW w:w="5863" w:type="dxa"/>
          </w:tcPr>
          <w:p w:rsidR="00861F2A" w:rsidRDefault="00861F2A" w:rsidP="00B65F86"/>
          <w:p w:rsidR="00861F2A" w:rsidRDefault="000575B7" w:rsidP="00B65F86">
            <w:hyperlink r:id="rId12" w:history="1">
              <w:r w:rsidR="00861F2A">
                <w:rPr>
                  <w:rStyle w:val="Hyperlink"/>
                </w:rPr>
                <w:t>http://www.umb.edu/academics/cm/masters_programs/msit</w:t>
              </w:r>
            </w:hyperlink>
          </w:p>
        </w:tc>
      </w:tr>
      <w:tr w:rsidR="00861F2A" w:rsidTr="00B65F86">
        <w:tc>
          <w:tcPr>
            <w:tcW w:w="9576" w:type="dxa"/>
            <w:gridSpan w:val="3"/>
          </w:tcPr>
          <w:p w:rsidR="00861F2A" w:rsidRPr="00813378" w:rsidRDefault="00861F2A" w:rsidP="00B65F86">
            <w:pPr>
              <w:rPr>
                <w:sz w:val="24"/>
                <w:szCs w:val="24"/>
              </w:rPr>
            </w:pPr>
            <w:r w:rsidRPr="00813378">
              <w:rPr>
                <w:rFonts w:hint="eastAsia"/>
                <w:sz w:val="24"/>
                <w:szCs w:val="24"/>
              </w:rPr>
              <w:t>管理学院网站</w:t>
            </w:r>
          </w:p>
          <w:p w:rsidR="00861F2A" w:rsidRDefault="000575B7" w:rsidP="00B65F86">
            <w:pPr>
              <w:rPr>
                <w:sz w:val="24"/>
                <w:szCs w:val="24"/>
              </w:rPr>
            </w:pPr>
            <w:hyperlink r:id="rId13" w:history="1">
              <w:r w:rsidR="00861F2A" w:rsidRPr="00813378">
                <w:rPr>
                  <w:rStyle w:val="Hyperlink"/>
                  <w:sz w:val="24"/>
                  <w:szCs w:val="24"/>
                </w:rPr>
                <w:t>http://www.umb.edu/academics/cm/masters_programs</w:t>
              </w:r>
            </w:hyperlink>
          </w:p>
          <w:p w:rsidR="00861F2A" w:rsidRPr="00813378" w:rsidRDefault="00861F2A" w:rsidP="00B65F86">
            <w:pPr>
              <w:rPr>
                <w:sz w:val="24"/>
                <w:szCs w:val="24"/>
              </w:rPr>
            </w:pPr>
          </w:p>
          <w:p w:rsidR="00861F2A" w:rsidRPr="00813378" w:rsidRDefault="00861F2A" w:rsidP="00B65F86">
            <w:pPr>
              <w:rPr>
                <w:sz w:val="24"/>
                <w:szCs w:val="24"/>
              </w:rPr>
            </w:pPr>
            <w:r w:rsidRPr="00813378">
              <w:rPr>
                <w:rFonts w:hint="eastAsia"/>
                <w:sz w:val="24"/>
                <w:szCs w:val="24"/>
              </w:rPr>
              <w:t>管理学院各专介绍</w:t>
            </w:r>
            <w:r>
              <w:rPr>
                <w:rFonts w:hint="eastAsia"/>
                <w:sz w:val="24"/>
                <w:szCs w:val="24"/>
              </w:rPr>
              <w:t>（宣传册版）</w:t>
            </w:r>
            <w:hyperlink r:id="rId14" w:history="1">
              <w:r w:rsidRPr="002953FC">
                <w:rPr>
                  <w:rStyle w:val="Hyperlink"/>
                  <w:sz w:val="24"/>
                  <w:szCs w:val="24"/>
                </w:rPr>
                <w:t>http://cdn.umb.edu/images/college_management/Grad_Programs.Brochure.2013.pdf</w:t>
              </w:r>
            </w:hyperlink>
          </w:p>
        </w:tc>
      </w:tr>
    </w:tbl>
    <w:p w:rsidR="00861F2A" w:rsidRPr="00D8112B" w:rsidRDefault="00861F2A" w:rsidP="00861F2A">
      <w:pPr>
        <w:rPr>
          <w:rFonts w:asciiTheme="majorHAnsi" w:hAnsiTheme="majorHAnsi"/>
          <w:b/>
          <w:sz w:val="28"/>
          <w:szCs w:val="28"/>
        </w:rPr>
      </w:pPr>
    </w:p>
    <w:p w:rsidR="00861F2A" w:rsidRPr="00861F2A" w:rsidRDefault="00861F2A" w:rsidP="00861F2A">
      <w:pPr>
        <w:snapToGrid w:val="0"/>
        <w:spacing w:after="0" w:line="360" w:lineRule="auto"/>
        <w:rPr>
          <w:sz w:val="24"/>
          <w:szCs w:val="24"/>
        </w:rPr>
      </w:pPr>
      <w:r w:rsidRPr="00861F2A">
        <w:rPr>
          <w:sz w:val="24"/>
          <w:szCs w:val="24"/>
        </w:rPr>
        <w:t>UMB John W. McCormack Graduate School of Policy and Global Studies</w:t>
      </w:r>
    </w:p>
    <w:p w:rsidR="00861F2A" w:rsidRPr="00861F2A" w:rsidRDefault="00861F2A" w:rsidP="00861F2A">
      <w:pPr>
        <w:snapToGrid w:val="0"/>
        <w:spacing w:after="0" w:line="360" w:lineRule="auto"/>
        <w:rPr>
          <w:sz w:val="24"/>
          <w:szCs w:val="24"/>
        </w:rPr>
      </w:pPr>
      <w:r w:rsidRPr="00861F2A">
        <w:rPr>
          <w:sz w:val="24"/>
          <w:szCs w:val="24"/>
        </w:rPr>
        <w:t>麻州大学波士顿分校麦科马克政策与全球研究院研究生专业一览</w:t>
      </w:r>
      <w:r w:rsidRPr="00861F2A">
        <w:rPr>
          <w:sz w:val="24"/>
          <w:szCs w:val="24"/>
        </w:rPr>
        <w:t xml:space="preserve"> </w:t>
      </w:r>
      <w:r w:rsidRPr="00861F2A">
        <w:rPr>
          <w:sz w:val="24"/>
          <w:szCs w:val="24"/>
        </w:rPr>
        <w:t>（下设三个系）</w:t>
      </w:r>
    </w:p>
    <w:tbl>
      <w:tblPr>
        <w:tblStyle w:val="TableGrid"/>
        <w:tblW w:w="0" w:type="auto"/>
        <w:tblLook w:val="04A0" w:firstRow="1" w:lastRow="0" w:firstColumn="1" w:lastColumn="0" w:noHBand="0" w:noVBand="1"/>
      </w:tblPr>
      <w:tblGrid>
        <w:gridCol w:w="2268"/>
        <w:gridCol w:w="810"/>
        <w:gridCol w:w="1530"/>
        <w:gridCol w:w="810"/>
        <w:gridCol w:w="1440"/>
        <w:gridCol w:w="2718"/>
      </w:tblGrid>
      <w:tr w:rsidR="00861F2A" w:rsidTr="00B65F86">
        <w:tc>
          <w:tcPr>
            <w:tcW w:w="9576" w:type="dxa"/>
            <w:gridSpan w:val="6"/>
          </w:tcPr>
          <w:p w:rsidR="00861F2A" w:rsidRPr="00746003" w:rsidRDefault="00861F2A" w:rsidP="00B65F86">
            <w:pPr>
              <w:shd w:val="clear" w:color="auto" w:fill="FFFFFF"/>
              <w:spacing w:line="420" w:lineRule="atLeast"/>
              <w:outlineLvl w:val="0"/>
              <w:rPr>
                <w:rFonts w:asciiTheme="majorHAnsi" w:hAnsiTheme="majorHAnsi"/>
                <w:b/>
                <w:color w:val="3A3A3A"/>
                <w:sz w:val="24"/>
                <w:szCs w:val="24"/>
                <w:shd w:val="clear" w:color="auto" w:fill="FFFFFF"/>
              </w:rPr>
            </w:pPr>
            <w:r w:rsidRPr="00746003">
              <w:rPr>
                <w:rFonts w:asciiTheme="majorHAnsi" w:hAnsiTheme="majorHAnsi"/>
                <w:b/>
                <w:color w:val="3A3A3A"/>
                <w:sz w:val="24"/>
                <w:szCs w:val="24"/>
                <w:shd w:val="clear" w:color="auto" w:fill="FFFFFF"/>
              </w:rPr>
              <w:t>Department of Conflict Resolution, Human Security, and Global Governance</w:t>
            </w:r>
          </w:p>
          <w:p w:rsidR="00861F2A" w:rsidRDefault="00861F2A" w:rsidP="00B65F86">
            <w:pPr>
              <w:shd w:val="clear" w:color="auto" w:fill="FFFFFF"/>
              <w:spacing w:line="420" w:lineRule="atLeast"/>
              <w:outlineLvl w:val="0"/>
            </w:pPr>
            <w:r w:rsidRPr="00D8112B">
              <w:rPr>
                <w:rFonts w:asciiTheme="majorHAnsi" w:hAnsiTheme="majorHAnsi" w:hint="eastAsia"/>
                <w:b/>
                <w:color w:val="3A3A3A"/>
                <w:sz w:val="24"/>
                <w:szCs w:val="24"/>
                <w:shd w:val="clear" w:color="auto" w:fill="FFFFFF"/>
              </w:rPr>
              <w:t xml:space="preserve">                                               </w:t>
            </w:r>
            <w:r w:rsidRPr="00D8112B">
              <w:rPr>
                <w:rFonts w:asciiTheme="majorHAnsi" w:hAnsiTheme="majorHAnsi" w:hint="eastAsia"/>
                <w:b/>
                <w:color w:val="3A3A3A"/>
                <w:sz w:val="24"/>
                <w:szCs w:val="24"/>
                <w:shd w:val="clear" w:color="auto" w:fill="FFFFFF"/>
              </w:rPr>
              <w:t>争端解决、人权与全球化管理系</w:t>
            </w:r>
          </w:p>
        </w:tc>
      </w:tr>
      <w:tr w:rsidR="00861F2A" w:rsidTr="00B65F86">
        <w:tc>
          <w:tcPr>
            <w:tcW w:w="2268" w:type="dxa"/>
          </w:tcPr>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bookmarkStart w:id="1" w:name="_Hlk382820820"/>
            <w:r w:rsidRPr="00D8112B">
              <w:rPr>
                <w:rFonts w:asciiTheme="majorHAnsi" w:hAnsiTheme="majorHAnsi" w:hint="eastAsia"/>
                <w:color w:val="3A3A3A"/>
                <w:sz w:val="24"/>
                <w:szCs w:val="24"/>
                <w:shd w:val="clear" w:color="auto" w:fill="FFFFFF"/>
              </w:rPr>
              <w:t>Conflict Resolution</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争端解决，硕士</w:t>
            </w:r>
          </w:p>
        </w:tc>
        <w:tc>
          <w:tcPr>
            <w:tcW w:w="3150" w:type="dxa"/>
            <w:gridSpan w:val="3"/>
          </w:tcPr>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International Relations</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国际关系，硕士</w:t>
            </w:r>
          </w:p>
        </w:tc>
        <w:tc>
          <w:tcPr>
            <w:tcW w:w="4158" w:type="dxa"/>
            <w:gridSpan w:val="2"/>
          </w:tcPr>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Global Governance and Human Security, PhD</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全球化管理与人类安全，博士</w:t>
            </w:r>
          </w:p>
        </w:tc>
      </w:tr>
      <w:bookmarkEnd w:id="1"/>
      <w:tr w:rsidR="00861F2A" w:rsidTr="00B65F86">
        <w:tc>
          <w:tcPr>
            <w:tcW w:w="9576" w:type="dxa"/>
            <w:gridSpan w:val="6"/>
          </w:tcPr>
          <w:p w:rsidR="00861F2A" w:rsidRDefault="00861F2A" w:rsidP="00B65F86">
            <w:r>
              <w:rPr>
                <w:rFonts w:hint="eastAsia"/>
              </w:rPr>
              <w:t>系网址</w:t>
            </w:r>
            <w:hyperlink r:id="rId15" w:history="1">
              <w:r>
                <w:rPr>
                  <w:rStyle w:val="Hyperlink"/>
                </w:rPr>
                <w:t>http://www.umb.edu/academics/mgs/crhsgg</w:t>
              </w:r>
            </w:hyperlink>
          </w:p>
          <w:p w:rsidR="00861F2A" w:rsidRDefault="00861F2A" w:rsidP="00B65F86"/>
        </w:tc>
      </w:tr>
      <w:tr w:rsidR="00861F2A" w:rsidTr="00B65F86">
        <w:tc>
          <w:tcPr>
            <w:tcW w:w="9576" w:type="dxa"/>
            <w:gridSpan w:val="6"/>
          </w:tcPr>
          <w:p w:rsidR="00861F2A" w:rsidRPr="00D8112B" w:rsidRDefault="00861F2A" w:rsidP="00B65F86">
            <w:pPr>
              <w:shd w:val="clear" w:color="auto" w:fill="FFFFFF"/>
              <w:spacing w:line="420" w:lineRule="atLeast"/>
              <w:jc w:val="center"/>
              <w:outlineLvl w:val="0"/>
              <w:rPr>
                <w:rFonts w:asciiTheme="majorHAnsi" w:hAnsiTheme="majorHAnsi"/>
                <w:b/>
                <w:color w:val="3A3A3A"/>
                <w:sz w:val="24"/>
                <w:szCs w:val="24"/>
                <w:shd w:val="clear" w:color="auto" w:fill="FFFFFF"/>
              </w:rPr>
            </w:pPr>
            <w:r w:rsidRPr="00D8112B">
              <w:rPr>
                <w:rFonts w:asciiTheme="majorHAnsi" w:hAnsiTheme="majorHAnsi" w:hint="eastAsia"/>
                <w:b/>
                <w:color w:val="3A3A3A"/>
                <w:sz w:val="24"/>
                <w:szCs w:val="24"/>
                <w:shd w:val="clear" w:color="auto" w:fill="FFFFFF"/>
              </w:rPr>
              <w:t xml:space="preserve">Department of Gerontology </w:t>
            </w:r>
            <w:r w:rsidRPr="00D8112B">
              <w:rPr>
                <w:rFonts w:asciiTheme="majorHAnsi" w:hAnsiTheme="majorHAnsi" w:hint="eastAsia"/>
                <w:b/>
                <w:color w:val="3A3A3A"/>
                <w:sz w:val="24"/>
                <w:szCs w:val="24"/>
                <w:shd w:val="clear" w:color="auto" w:fill="FFFFFF"/>
              </w:rPr>
              <w:t>人口老龄化研究系</w:t>
            </w:r>
          </w:p>
        </w:tc>
      </w:tr>
      <w:tr w:rsidR="00861F2A" w:rsidRPr="000E3E66" w:rsidTr="00B65F86">
        <w:tc>
          <w:tcPr>
            <w:tcW w:w="3078" w:type="dxa"/>
            <w:gridSpan w:val="2"/>
          </w:tcPr>
          <w:p w:rsidR="00861F2A" w:rsidRPr="00D8112B" w:rsidRDefault="000575B7" w:rsidP="00B65F86">
            <w:pPr>
              <w:shd w:val="clear" w:color="auto" w:fill="FFFFFF"/>
              <w:spacing w:line="420" w:lineRule="atLeast"/>
              <w:outlineLvl w:val="0"/>
              <w:rPr>
                <w:rFonts w:asciiTheme="majorHAnsi" w:hAnsiTheme="majorHAnsi"/>
                <w:color w:val="3A3A3A"/>
                <w:sz w:val="24"/>
                <w:szCs w:val="24"/>
                <w:shd w:val="clear" w:color="auto" w:fill="FFFFFF"/>
              </w:rPr>
            </w:pPr>
            <w:hyperlink r:id="rId16" w:history="1">
              <w:r w:rsidR="00861F2A" w:rsidRPr="00D8112B">
                <w:rPr>
                  <w:rFonts w:asciiTheme="majorHAnsi" w:hAnsiTheme="majorHAnsi"/>
                  <w:color w:val="3A3A3A"/>
                  <w:sz w:val="24"/>
                  <w:szCs w:val="24"/>
                  <w:shd w:val="clear" w:color="auto" w:fill="FFFFFF"/>
                </w:rPr>
                <w:t>Management of Aging Services, MS</w:t>
              </w:r>
            </w:hyperlink>
            <w:r w:rsidR="00861F2A" w:rsidRPr="00D8112B">
              <w:rPr>
                <w:rFonts w:asciiTheme="majorHAnsi" w:hAnsiTheme="majorHAnsi"/>
                <w:color w:val="3A3A3A"/>
                <w:sz w:val="24"/>
                <w:szCs w:val="24"/>
                <w:shd w:val="clear" w:color="auto" w:fill="FFFFFF"/>
              </w:rPr>
              <w:t>  </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老龄人口服务，硕士</w:t>
            </w:r>
          </w:p>
        </w:tc>
        <w:tc>
          <w:tcPr>
            <w:tcW w:w="3780" w:type="dxa"/>
            <w:gridSpan w:val="3"/>
          </w:tcPr>
          <w:p w:rsidR="00861F2A" w:rsidRPr="00D8112B" w:rsidRDefault="000575B7" w:rsidP="00B65F86">
            <w:pPr>
              <w:shd w:val="clear" w:color="auto" w:fill="FFFFFF"/>
              <w:spacing w:line="420" w:lineRule="atLeast"/>
              <w:outlineLvl w:val="0"/>
              <w:rPr>
                <w:rFonts w:asciiTheme="majorHAnsi" w:hAnsiTheme="majorHAnsi"/>
                <w:color w:val="3A3A3A"/>
                <w:sz w:val="24"/>
                <w:szCs w:val="24"/>
                <w:shd w:val="clear" w:color="auto" w:fill="FFFFFF"/>
              </w:rPr>
            </w:pPr>
            <w:hyperlink r:id="rId17" w:history="1">
              <w:r w:rsidR="00861F2A" w:rsidRPr="00D8112B">
                <w:rPr>
                  <w:rFonts w:asciiTheme="majorHAnsi" w:hAnsiTheme="majorHAnsi"/>
                  <w:color w:val="3A3A3A"/>
                  <w:sz w:val="24"/>
                  <w:szCs w:val="24"/>
                  <w:shd w:val="clear" w:color="auto" w:fill="FFFFFF"/>
                </w:rPr>
                <w:t>Gerontology Research/Policy, MS</w:t>
              </w:r>
            </w:hyperlink>
            <w:r w:rsidR="00861F2A" w:rsidRPr="00D8112B">
              <w:rPr>
                <w:rFonts w:asciiTheme="majorHAnsi" w:hAnsiTheme="majorHAnsi"/>
                <w:color w:val="3A3A3A"/>
                <w:sz w:val="24"/>
                <w:szCs w:val="24"/>
                <w:shd w:val="clear" w:color="auto" w:fill="FFFFFF"/>
              </w:rPr>
              <w:t>  </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人口老龄化研究、政策，硕士</w:t>
            </w:r>
          </w:p>
        </w:tc>
        <w:tc>
          <w:tcPr>
            <w:tcW w:w="2718" w:type="dxa"/>
          </w:tcPr>
          <w:p w:rsidR="00861F2A" w:rsidRPr="00D8112B" w:rsidRDefault="000575B7" w:rsidP="00B65F86">
            <w:pPr>
              <w:shd w:val="clear" w:color="auto" w:fill="FFFFFF"/>
              <w:spacing w:line="420" w:lineRule="atLeast"/>
              <w:outlineLvl w:val="0"/>
              <w:rPr>
                <w:rFonts w:asciiTheme="majorHAnsi" w:hAnsiTheme="majorHAnsi"/>
                <w:color w:val="3A3A3A"/>
                <w:sz w:val="24"/>
                <w:szCs w:val="24"/>
                <w:shd w:val="clear" w:color="auto" w:fill="FFFFFF"/>
              </w:rPr>
            </w:pPr>
            <w:hyperlink r:id="rId18" w:history="1">
              <w:r w:rsidR="00861F2A" w:rsidRPr="00D8112B">
                <w:rPr>
                  <w:rFonts w:asciiTheme="majorHAnsi" w:hAnsiTheme="majorHAnsi"/>
                  <w:color w:val="3A3A3A"/>
                  <w:sz w:val="24"/>
                  <w:szCs w:val="24"/>
                  <w:shd w:val="clear" w:color="auto" w:fill="FFFFFF"/>
                </w:rPr>
                <w:t>Gerontology, PhD</w:t>
              </w:r>
            </w:hyperlink>
            <w:r w:rsidR="00861F2A" w:rsidRPr="00D8112B">
              <w:rPr>
                <w:rFonts w:asciiTheme="majorHAnsi" w:hAnsiTheme="majorHAnsi"/>
                <w:color w:val="3A3A3A"/>
                <w:sz w:val="24"/>
                <w:szCs w:val="24"/>
                <w:shd w:val="clear" w:color="auto" w:fill="FFFFFF"/>
              </w:rPr>
              <w:t> </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人口老龄化研究，博士</w:t>
            </w:r>
          </w:p>
        </w:tc>
      </w:tr>
      <w:tr w:rsidR="00861F2A" w:rsidTr="00B65F86">
        <w:tc>
          <w:tcPr>
            <w:tcW w:w="9576" w:type="dxa"/>
            <w:gridSpan w:val="6"/>
          </w:tcPr>
          <w:p w:rsidR="00861F2A" w:rsidRDefault="00861F2A" w:rsidP="00B65F86">
            <w:r>
              <w:rPr>
                <w:rFonts w:hint="eastAsia"/>
              </w:rPr>
              <w:t>系网址</w:t>
            </w:r>
            <w:r>
              <w:rPr>
                <w:rFonts w:hint="eastAsia"/>
              </w:rPr>
              <w:t xml:space="preserve"> </w:t>
            </w:r>
            <w:hyperlink r:id="rId19" w:history="1">
              <w:r>
                <w:rPr>
                  <w:rStyle w:val="Hyperlink"/>
                </w:rPr>
                <w:t>http://www.umb.edu/academics/mgs/gerontology/graduate</w:t>
              </w:r>
            </w:hyperlink>
          </w:p>
        </w:tc>
      </w:tr>
      <w:tr w:rsidR="00861F2A" w:rsidTr="00B65F86">
        <w:tc>
          <w:tcPr>
            <w:tcW w:w="9576" w:type="dxa"/>
            <w:gridSpan w:val="6"/>
          </w:tcPr>
          <w:p w:rsidR="00861F2A" w:rsidRPr="00D8112B" w:rsidRDefault="00861F2A" w:rsidP="00B65F86">
            <w:pPr>
              <w:shd w:val="clear" w:color="auto" w:fill="FFFFFF"/>
              <w:spacing w:line="420" w:lineRule="atLeast"/>
              <w:jc w:val="center"/>
              <w:outlineLvl w:val="0"/>
              <w:rPr>
                <w:rFonts w:asciiTheme="majorHAnsi" w:hAnsiTheme="majorHAnsi"/>
                <w:b/>
                <w:color w:val="3A3A3A"/>
                <w:sz w:val="24"/>
                <w:szCs w:val="24"/>
                <w:shd w:val="clear" w:color="auto" w:fill="FFFFFF"/>
              </w:rPr>
            </w:pPr>
            <w:r w:rsidRPr="00D8112B">
              <w:rPr>
                <w:rFonts w:asciiTheme="majorHAnsi" w:hAnsiTheme="majorHAnsi"/>
                <w:b/>
                <w:color w:val="3A3A3A"/>
                <w:sz w:val="24"/>
                <w:szCs w:val="24"/>
                <w:shd w:val="clear" w:color="auto" w:fill="FFFFFF"/>
              </w:rPr>
              <w:t>Department of Public Policy and Public Affairs</w:t>
            </w:r>
            <w:r w:rsidRPr="00D8112B">
              <w:rPr>
                <w:rFonts w:asciiTheme="majorHAnsi" w:hAnsiTheme="majorHAnsi" w:hint="eastAsia"/>
                <w:b/>
                <w:color w:val="3A3A3A"/>
                <w:sz w:val="24"/>
                <w:szCs w:val="24"/>
                <w:shd w:val="clear" w:color="auto" w:fill="FFFFFF"/>
              </w:rPr>
              <w:t xml:space="preserve"> </w:t>
            </w:r>
            <w:r w:rsidRPr="00D8112B">
              <w:rPr>
                <w:rFonts w:asciiTheme="majorHAnsi" w:hAnsiTheme="majorHAnsi" w:hint="eastAsia"/>
                <w:b/>
                <w:color w:val="3A3A3A"/>
                <w:sz w:val="24"/>
                <w:szCs w:val="24"/>
                <w:shd w:val="clear" w:color="auto" w:fill="FFFFFF"/>
              </w:rPr>
              <w:t>公共政策与公共事务系</w:t>
            </w:r>
          </w:p>
          <w:p w:rsidR="00861F2A" w:rsidRPr="00D8112B" w:rsidRDefault="00861F2A" w:rsidP="00B65F86">
            <w:pPr>
              <w:rPr>
                <w:rFonts w:asciiTheme="majorHAnsi" w:hAnsiTheme="majorHAnsi"/>
                <w:color w:val="3A3A3A"/>
                <w:sz w:val="24"/>
                <w:szCs w:val="24"/>
                <w:shd w:val="clear" w:color="auto" w:fill="FFFFFF"/>
              </w:rPr>
            </w:pPr>
          </w:p>
        </w:tc>
      </w:tr>
      <w:tr w:rsidR="00861F2A" w:rsidTr="00B65F86">
        <w:trPr>
          <w:trHeight w:val="683"/>
        </w:trPr>
        <w:tc>
          <w:tcPr>
            <w:tcW w:w="4608" w:type="dxa"/>
            <w:gridSpan w:val="3"/>
          </w:tcPr>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color w:val="3A3A3A"/>
                <w:sz w:val="24"/>
                <w:szCs w:val="24"/>
                <w:shd w:val="clear" w:color="auto" w:fill="FFFFFF"/>
              </w:rPr>
              <w:t>MS in Public Affairs</w:t>
            </w:r>
          </w:p>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sidRPr="00D8112B">
              <w:rPr>
                <w:rFonts w:asciiTheme="majorHAnsi" w:hAnsiTheme="majorHAnsi" w:hint="eastAsia"/>
                <w:color w:val="3A3A3A"/>
                <w:sz w:val="24"/>
                <w:szCs w:val="24"/>
                <w:shd w:val="clear" w:color="auto" w:fill="FFFFFF"/>
              </w:rPr>
              <w:t>公共事务，硕士</w:t>
            </w:r>
          </w:p>
          <w:p w:rsidR="00861F2A" w:rsidRPr="00D8112B" w:rsidRDefault="00861F2A" w:rsidP="00B65F86">
            <w:pPr>
              <w:spacing w:line="420" w:lineRule="atLeast"/>
              <w:outlineLvl w:val="0"/>
              <w:rPr>
                <w:rFonts w:asciiTheme="majorHAnsi" w:hAnsiTheme="majorHAnsi"/>
                <w:color w:val="3A3A3A"/>
                <w:sz w:val="24"/>
                <w:szCs w:val="24"/>
                <w:shd w:val="clear" w:color="auto" w:fill="FFFFFF"/>
              </w:rPr>
            </w:pPr>
          </w:p>
        </w:tc>
        <w:tc>
          <w:tcPr>
            <w:tcW w:w="4968" w:type="dxa"/>
            <w:gridSpan w:val="3"/>
          </w:tcPr>
          <w:p w:rsidR="00861F2A" w:rsidRPr="00D8112B" w:rsidRDefault="00861F2A" w:rsidP="00B65F86">
            <w:pPr>
              <w:shd w:val="clear" w:color="auto" w:fill="FFFFFF"/>
              <w:spacing w:line="420" w:lineRule="atLeast"/>
              <w:outlineLvl w:val="0"/>
              <w:rPr>
                <w:rFonts w:asciiTheme="majorHAnsi" w:hAnsiTheme="majorHAnsi"/>
                <w:color w:val="3A3A3A"/>
                <w:sz w:val="24"/>
                <w:szCs w:val="24"/>
                <w:shd w:val="clear" w:color="auto" w:fill="FFFFFF"/>
              </w:rPr>
            </w:pPr>
            <w:r>
              <w:rPr>
                <w:rFonts w:asciiTheme="majorHAnsi" w:hAnsiTheme="majorHAnsi" w:hint="eastAsia"/>
                <w:color w:val="3A3A3A"/>
                <w:sz w:val="24"/>
                <w:szCs w:val="24"/>
                <w:shd w:val="clear" w:color="auto" w:fill="FFFFFF"/>
              </w:rPr>
              <w:t xml:space="preserve">                 </w:t>
            </w:r>
            <w:r w:rsidRPr="00D8112B">
              <w:rPr>
                <w:rFonts w:asciiTheme="majorHAnsi" w:hAnsiTheme="majorHAnsi"/>
                <w:color w:val="3A3A3A"/>
                <w:sz w:val="24"/>
                <w:szCs w:val="24"/>
                <w:shd w:val="clear" w:color="auto" w:fill="FFFFFF"/>
              </w:rPr>
              <w:t>PhD in Public Policy</w:t>
            </w:r>
          </w:p>
          <w:p w:rsidR="00861F2A" w:rsidRPr="00D8112B" w:rsidRDefault="00861F2A" w:rsidP="00B65F86">
            <w:pPr>
              <w:spacing w:line="420" w:lineRule="atLeast"/>
              <w:outlineLvl w:val="0"/>
              <w:rPr>
                <w:rFonts w:asciiTheme="majorHAnsi" w:hAnsiTheme="majorHAnsi"/>
                <w:color w:val="3A3A3A"/>
                <w:sz w:val="24"/>
                <w:szCs w:val="24"/>
                <w:shd w:val="clear" w:color="auto" w:fill="FFFFFF"/>
              </w:rPr>
            </w:pPr>
            <w:r>
              <w:rPr>
                <w:rFonts w:asciiTheme="majorHAnsi" w:hAnsiTheme="majorHAnsi" w:hint="eastAsia"/>
                <w:color w:val="3A3A3A"/>
                <w:sz w:val="24"/>
                <w:szCs w:val="24"/>
                <w:shd w:val="clear" w:color="auto" w:fill="FFFFFF"/>
              </w:rPr>
              <w:t xml:space="preserve">                 </w:t>
            </w:r>
            <w:r w:rsidRPr="00D8112B">
              <w:rPr>
                <w:rFonts w:asciiTheme="majorHAnsi" w:hAnsiTheme="majorHAnsi" w:hint="eastAsia"/>
                <w:color w:val="3A3A3A"/>
                <w:sz w:val="24"/>
                <w:szCs w:val="24"/>
                <w:shd w:val="clear" w:color="auto" w:fill="FFFFFF"/>
              </w:rPr>
              <w:t>公共政策，博士</w:t>
            </w:r>
          </w:p>
        </w:tc>
      </w:tr>
      <w:tr w:rsidR="00861F2A" w:rsidTr="00B65F86">
        <w:trPr>
          <w:trHeight w:val="278"/>
        </w:trPr>
        <w:tc>
          <w:tcPr>
            <w:tcW w:w="9576" w:type="dxa"/>
            <w:gridSpan w:val="6"/>
          </w:tcPr>
          <w:p w:rsidR="00861F2A" w:rsidRDefault="00861F2A" w:rsidP="00B65F86">
            <w:r>
              <w:rPr>
                <w:rFonts w:hint="eastAsia"/>
              </w:rPr>
              <w:t>系网址</w:t>
            </w:r>
            <w:hyperlink r:id="rId20" w:history="1">
              <w:r>
                <w:rPr>
                  <w:rStyle w:val="Hyperlink"/>
                </w:rPr>
                <w:t>http://www.umb.edu/academics/mgs/publicpolicy_publicaffairs/graduate</w:t>
              </w:r>
            </w:hyperlink>
          </w:p>
        </w:tc>
      </w:tr>
    </w:tbl>
    <w:p w:rsidR="009B5F20" w:rsidRDefault="009B5F20" w:rsidP="009B5F20">
      <w:pPr>
        <w:snapToGrid w:val="0"/>
        <w:spacing w:after="0" w:line="360" w:lineRule="auto"/>
        <w:rPr>
          <w:sz w:val="24"/>
          <w:szCs w:val="24"/>
        </w:rPr>
      </w:pPr>
    </w:p>
    <w:p w:rsidR="009B5F20" w:rsidRPr="009B5F20" w:rsidRDefault="009B5F20" w:rsidP="009B5F20">
      <w:pPr>
        <w:snapToGrid w:val="0"/>
        <w:spacing w:after="0" w:line="360" w:lineRule="auto"/>
        <w:rPr>
          <w:rFonts w:asciiTheme="majorHAnsi" w:hAnsiTheme="majorHAnsi"/>
          <w:color w:val="3A3A3A"/>
          <w:sz w:val="24"/>
          <w:szCs w:val="24"/>
          <w:shd w:val="clear" w:color="auto" w:fill="FFFFFF"/>
        </w:rPr>
      </w:pPr>
      <w:r w:rsidRPr="009B5F20">
        <w:rPr>
          <w:rFonts w:asciiTheme="majorHAnsi" w:hAnsiTheme="majorHAnsi"/>
          <w:color w:val="3A3A3A"/>
          <w:sz w:val="24"/>
          <w:szCs w:val="24"/>
          <w:shd w:val="clear" w:color="auto" w:fill="FFFFFF"/>
        </w:rPr>
        <w:lastRenderedPageBreak/>
        <w:t xml:space="preserve">UMB </w:t>
      </w:r>
      <w:hyperlink r:id="rId21" w:history="1">
        <w:r w:rsidRPr="009B5F20">
          <w:rPr>
            <w:rFonts w:asciiTheme="majorHAnsi" w:hAnsiTheme="majorHAnsi"/>
            <w:color w:val="3A3A3A"/>
            <w:sz w:val="24"/>
            <w:szCs w:val="24"/>
            <w:shd w:val="clear" w:color="auto" w:fill="FFFFFF"/>
          </w:rPr>
          <w:t>College of Education and Human Development</w:t>
        </w:r>
      </w:hyperlink>
    </w:p>
    <w:p w:rsidR="009B5F20" w:rsidRPr="009B5F20" w:rsidRDefault="009B5F20" w:rsidP="009B5F20">
      <w:pPr>
        <w:snapToGrid w:val="0"/>
        <w:spacing w:after="0" w:line="360" w:lineRule="auto"/>
        <w:rPr>
          <w:rFonts w:asciiTheme="majorHAnsi" w:hAnsiTheme="majorHAnsi"/>
          <w:color w:val="3A3A3A"/>
          <w:sz w:val="24"/>
          <w:szCs w:val="24"/>
          <w:shd w:val="clear" w:color="auto" w:fill="FFFFFF"/>
        </w:rPr>
      </w:pPr>
      <w:r w:rsidRPr="009B5F20">
        <w:rPr>
          <w:rFonts w:asciiTheme="majorHAnsi" w:hAnsiTheme="majorHAnsi"/>
          <w:color w:val="3A3A3A"/>
          <w:sz w:val="24"/>
          <w:szCs w:val="24"/>
          <w:shd w:val="clear" w:color="auto" w:fill="FFFFFF"/>
        </w:rPr>
        <w:t>麻州大学波士顿分校</w:t>
      </w:r>
      <w:r w:rsidRPr="009B5F20">
        <w:rPr>
          <w:rFonts w:asciiTheme="majorHAnsi" w:hAnsiTheme="majorHAnsi"/>
          <w:color w:val="3A3A3A"/>
          <w:sz w:val="24"/>
          <w:szCs w:val="24"/>
          <w:shd w:val="clear" w:color="auto" w:fill="FFFFFF"/>
        </w:rPr>
        <w:t>教育与人才发展学院</w:t>
      </w:r>
    </w:p>
    <w:p w:rsidR="009B5F20" w:rsidRPr="009B5F20" w:rsidRDefault="009B5F20" w:rsidP="009B5F20">
      <w:pPr>
        <w:snapToGrid w:val="0"/>
        <w:spacing w:after="0" w:line="360" w:lineRule="auto"/>
        <w:rPr>
          <w:rFonts w:asciiTheme="majorHAnsi" w:hAnsiTheme="majorHAnsi"/>
          <w:color w:val="3A3A3A"/>
          <w:sz w:val="24"/>
          <w:szCs w:val="24"/>
          <w:shd w:val="clear" w:color="auto" w:fill="FFFFFF"/>
        </w:rPr>
      </w:pPr>
      <w:r w:rsidRPr="009B5F20">
        <w:rPr>
          <w:rFonts w:asciiTheme="majorHAnsi" w:hAnsiTheme="majorHAnsi"/>
          <w:color w:val="3A3A3A"/>
          <w:sz w:val="24"/>
          <w:szCs w:val="24"/>
          <w:shd w:val="clear" w:color="auto" w:fill="FFFFFF"/>
        </w:rPr>
        <w:t>The Department of Leadership in Education</w:t>
      </w:r>
    </w:p>
    <w:p w:rsidR="009B5F20" w:rsidRPr="009B5F20" w:rsidRDefault="009B5F20" w:rsidP="009B5F20">
      <w:pPr>
        <w:snapToGrid w:val="0"/>
        <w:spacing w:after="0" w:line="360" w:lineRule="auto"/>
        <w:rPr>
          <w:rFonts w:asciiTheme="majorHAnsi" w:hAnsiTheme="majorHAnsi"/>
          <w:color w:val="3A3A3A"/>
          <w:sz w:val="24"/>
          <w:szCs w:val="24"/>
          <w:shd w:val="clear" w:color="auto" w:fill="FFFFFF"/>
        </w:rPr>
      </w:pPr>
      <w:r w:rsidRPr="009B5F20">
        <w:rPr>
          <w:rFonts w:asciiTheme="majorHAnsi" w:hAnsiTheme="majorHAnsi"/>
          <w:color w:val="3A3A3A"/>
          <w:sz w:val="24"/>
          <w:szCs w:val="24"/>
          <w:shd w:val="clear" w:color="auto" w:fill="FFFFFF"/>
        </w:rPr>
        <w:t>教育领导力系</w:t>
      </w:r>
    </w:p>
    <w:p w:rsidR="009B5F20" w:rsidRPr="009B5F20" w:rsidRDefault="009B5F20" w:rsidP="009B5F20">
      <w:pPr>
        <w:rPr>
          <w:rFonts w:asciiTheme="majorHAnsi" w:hAnsiTheme="majorHAnsi"/>
          <w:color w:val="3A3A3A"/>
          <w:sz w:val="24"/>
          <w:szCs w:val="24"/>
          <w:shd w:val="clear" w:color="auto" w:fill="FFFFFF"/>
        </w:rPr>
      </w:pPr>
      <w:r w:rsidRPr="009B5F20">
        <w:rPr>
          <w:rFonts w:asciiTheme="majorHAnsi" w:hAnsiTheme="majorHAnsi" w:hint="eastAsia"/>
          <w:color w:val="3A3A3A"/>
          <w:sz w:val="24"/>
          <w:szCs w:val="24"/>
          <w:shd w:val="clear" w:color="auto" w:fill="FFFFFF"/>
        </w:rPr>
        <w:t>Ma</w:t>
      </w:r>
      <w:r w:rsidRPr="009B5F20">
        <w:rPr>
          <w:rFonts w:asciiTheme="majorHAnsi" w:hAnsiTheme="majorHAnsi"/>
          <w:color w:val="3A3A3A"/>
          <w:sz w:val="24"/>
          <w:szCs w:val="24"/>
          <w:shd w:val="clear" w:color="auto" w:fill="FFFFFF"/>
        </w:rPr>
        <w:t xml:space="preserve">ster of </w:t>
      </w:r>
      <w:r w:rsidR="005C6428" w:rsidRPr="009B5F20">
        <w:rPr>
          <w:rFonts w:asciiTheme="majorHAnsi" w:hAnsiTheme="majorHAnsi" w:hint="eastAsia"/>
          <w:color w:val="3A3A3A"/>
          <w:sz w:val="24"/>
          <w:szCs w:val="24"/>
          <w:shd w:val="clear" w:color="auto" w:fill="FFFFFF"/>
        </w:rPr>
        <w:t>Educational Administration</w:t>
      </w:r>
      <w:r w:rsidRPr="009B5F20">
        <w:rPr>
          <w:rFonts w:asciiTheme="majorHAnsi" w:hAnsiTheme="majorHAnsi"/>
          <w:color w:val="3A3A3A"/>
          <w:sz w:val="24"/>
          <w:szCs w:val="24"/>
          <w:shd w:val="clear" w:color="auto" w:fill="FFFFFF"/>
        </w:rPr>
        <w:t xml:space="preserve"> (M.Ed.)</w:t>
      </w:r>
    </w:p>
    <w:p w:rsidR="009B5F20" w:rsidRPr="009B5F20" w:rsidRDefault="009B5F20" w:rsidP="009B5F20">
      <w:pPr>
        <w:rPr>
          <w:rFonts w:asciiTheme="majorHAnsi" w:hAnsiTheme="majorHAnsi"/>
          <w:color w:val="3A3A3A"/>
          <w:sz w:val="24"/>
          <w:szCs w:val="24"/>
          <w:shd w:val="clear" w:color="auto" w:fill="FFFFFF"/>
        </w:rPr>
      </w:pPr>
      <w:r w:rsidRPr="009B5F20">
        <w:rPr>
          <w:rFonts w:asciiTheme="majorHAnsi" w:hAnsiTheme="majorHAnsi"/>
          <w:color w:val="3A3A3A"/>
          <w:sz w:val="24"/>
          <w:szCs w:val="24"/>
          <w:shd w:val="clear" w:color="auto" w:fill="FFFFFF"/>
        </w:rPr>
        <w:t>教育管理专业</w:t>
      </w:r>
    </w:p>
    <w:p w:rsidR="00861F2A" w:rsidRDefault="009B5F20" w:rsidP="00861F2A">
      <w:r w:rsidRPr="009B5F20">
        <w:rPr>
          <w:rFonts w:asciiTheme="majorHAnsi" w:hAnsiTheme="majorHAnsi" w:hint="eastAsia"/>
          <w:color w:val="3A3A3A"/>
          <w:sz w:val="24"/>
          <w:szCs w:val="24"/>
          <w:shd w:val="clear" w:color="auto" w:fill="FFFFFF"/>
        </w:rPr>
        <w:t>系网址</w:t>
      </w:r>
      <w:r w:rsidRPr="009B5F20">
        <w:rPr>
          <w:rFonts w:asciiTheme="majorHAnsi" w:hAnsiTheme="majorHAnsi" w:hint="eastAsia"/>
          <w:color w:val="3A3A3A"/>
          <w:sz w:val="24"/>
          <w:szCs w:val="24"/>
          <w:shd w:val="clear" w:color="auto" w:fill="FFFFFF"/>
        </w:rPr>
        <w:t>：</w:t>
      </w:r>
      <w:hyperlink r:id="rId22" w:tgtFrame="_blank" w:history="1">
        <w:r w:rsidR="005C6428">
          <w:rPr>
            <w:rFonts w:ascii="Calibri" w:eastAsia="Microsoft YaHei UI" w:hAnsi="Calibri" w:hint="eastAsia"/>
            <w:color w:val="0000FF"/>
            <w:u w:val="single"/>
            <w:shd w:val="clear" w:color="auto" w:fill="FFFFFF"/>
          </w:rPr>
          <w:t>http://www.umb.edu/academics/cehd/leaders</w:t>
        </w:r>
        <w:r w:rsidR="005C6428">
          <w:rPr>
            <w:rFonts w:ascii="Calibri" w:eastAsia="Microsoft YaHei UI" w:hAnsi="Calibri" w:hint="eastAsia"/>
            <w:color w:val="0000FF"/>
            <w:u w:val="single"/>
            <w:shd w:val="clear" w:color="auto" w:fill="FFFFFF"/>
          </w:rPr>
          <w:t>h</w:t>
        </w:r>
        <w:r w:rsidR="005C6428">
          <w:rPr>
            <w:rFonts w:ascii="Calibri" w:eastAsia="Microsoft YaHei UI" w:hAnsi="Calibri" w:hint="eastAsia"/>
            <w:color w:val="0000FF"/>
            <w:u w:val="single"/>
            <w:shd w:val="clear" w:color="auto" w:fill="FFFFFF"/>
          </w:rPr>
          <w:t>ip/grad?</w:t>
        </w:r>
      </w:hyperlink>
      <w:r w:rsidR="005C6428">
        <w:rPr>
          <w:rFonts w:ascii="Arial" w:eastAsia="Microsoft YaHei UI" w:hAnsi="Arial" w:cs="Arial"/>
          <w:color w:val="000000"/>
          <w:shd w:val="clear" w:color="auto" w:fill="FFFFFF"/>
        </w:rPr>
        <w:t>​</w:t>
      </w:r>
    </w:p>
    <w:p w:rsidR="00E94B94" w:rsidRPr="008877C2" w:rsidRDefault="00E94B94" w:rsidP="00E94B94">
      <w:pPr>
        <w:jc w:val="center"/>
        <w:rPr>
          <w:b/>
        </w:rPr>
      </w:pPr>
      <w:r>
        <w:rPr>
          <w:rFonts w:hint="eastAsia"/>
          <w:b/>
        </w:rPr>
        <w:t>附件</w:t>
      </w:r>
      <w:r>
        <w:rPr>
          <w:rFonts w:hint="eastAsia"/>
          <w:b/>
        </w:rPr>
        <w:t>3</w:t>
      </w:r>
      <w:r>
        <w:rPr>
          <w:rFonts w:hint="eastAsia"/>
          <w:b/>
        </w:rPr>
        <w:t>：</w:t>
      </w:r>
      <w:r w:rsidRPr="008877C2">
        <w:rPr>
          <w:b/>
        </w:rPr>
        <w:t>University of Massachusetts Boston Graduate Admissions Guidelines (</w:t>
      </w:r>
      <w:proofErr w:type="spellStart"/>
      <w:r>
        <w:rPr>
          <w:b/>
        </w:rPr>
        <w:t>Renmin</w:t>
      </w:r>
      <w:proofErr w:type="spellEnd"/>
      <w:r>
        <w:rPr>
          <w:b/>
        </w:rPr>
        <w:t xml:space="preserve"> Univ. Recruitment</w:t>
      </w:r>
      <w:r w:rsidRPr="008877C2">
        <w:rPr>
          <w:b/>
        </w:rPr>
        <w:t>)</w:t>
      </w:r>
    </w:p>
    <w:tbl>
      <w:tblPr>
        <w:tblStyle w:val="TableGrid"/>
        <w:tblW w:w="0" w:type="auto"/>
        <w:tblLook w:val="04A0" w:firstRow="1" w:lastRow="0" w:firstColumn="1" w:lastColumn="0" w:noHBand="0" w:noVBand="1"/>
      </w:tblPr>
      <w:tblGrid>
        <w:gridCol w:w="355"/>
        <w:gridCol w:w="2880"/>
        <w:gridCol w:w="6115"/>
      </w:tblGrid>
      <w:tr w:rsidR="00E94B94" w:rsidTr="00A81060">
        <w:tc>
          <w:tcPr>
            <w:tcW w:w="355" w:type="dxa"/>
          </w:tcPr>
          <w:p w:rsidR="00E94B94" w:rsidRDefault="00E94B94" w:rsidP="00A81060"/>
        </w:tc>
        <w:tc>
          <w:tcPr>
            <w:tcW w:w="2880" w:type="dxa"/>
          </w:tcPr>
          <w:p w:rsidR="00E94B94" w:rsidRPr="00020AD2" w:rsidRDefault="00E94B94" w:rsidP="00A81060">
            <w:pPr>
              <w:rPr>
                <w:b/>
              </w:rPr>
            </w:pPr>
            <w:r w:rsidRPr="00020AD2">
              <w:rPr>
                <w:b/>
              </w:rPr>
              <w:t>General Requirements List</w:t>
            </w:r>
          </w:p>
        </w:tc>
        <w:tc>
          <w:tcPr>
            <w:tcW w:w="6115" w:type="dxa"/>
          </w:tcPr>
          <w:p w:rsidR="00E94B94" w:rsidRPr="00020AD2" w:rsidRDefault="00E94B94" w:rsidP="00A81060">
            <w:pPr>
              <w:jc w:val="center"/>
              <w:rPr>
                <w:b/>
              </w:rPr>
            </w:pPr>
            <w:r w:rsidRPr="00020AD2">
              <w:rPr>
                <w:b/>
              </w:rPr>
              <w:t>Specific Requirements</w:t>
            </w:r>
          </w:p>
        </w:tc>
      </w:tr>
      <w:tr w:rsidR="00E94B94" w:rsidTr="00A81060">
        <w:tc>
          <w:tcPr>
            <w:tcW w:w="355" w:type="dxa"/>
          </w:tcPr>
          <w:p w:rsidR="00E94B94" w:rsidRDefault="00E94B94" w:rsidP="00A81060">
            <w:r>
              <w:t>1</w:t>
            </w:r>
          </w:p>
        </w:tc>
        <w:tc>
          <w:tcPr>
            <w:tcW w:w="2880" w:type="dxa"/>
          </w:tcPr>
          <w:p w:rsidR="00E94B94" w:rsidRPr="000A5598" w:rsidRDefault="000575B7" w:rsidP="00A81060">
            <w:pPr>
              <w:shd w:val="clear" w:color="auto" w:fill="FFFFFF"/>
              <w:spacing w:before="100" w:beforeAutospacing="1" w:after="100" w:afterAutospacing="1" w:line="300" w:lineRule="atLeast"/>
            </w:pPr>
            <w:hyperlink r:id="rId23" w:anchor="Official Transcripts" w:history="1">
              <w:r w:rsidR="00E94B94" w:rsidRPr="000A5598">
                <w:t xml:space="preserve">Official Transcripts and Official English Translations </w:t>
              </w:r>
            </w:hyperlink>
          </w:p>
          <w:p w:rsidR="00E94B94" w:rsidRPr="000A5598" w:rsidRDefault="00E94B94" w:rsidP="00A81060">
            <w:pPr>
              <w:rPr>
                <w:lang w:val="en"/>
              </w:rPr>
            </w:pPr>
          </w:p>
        </w:tc>
        <w:tc>
          <w:tcPr>
            <w:tcW w:w="6115" w:type="dxa"/>
          </w:tcPr>
          <w:p w:rsidR="00E94B94" w:rsidRDefault="00E94B94" w:rsidP="00E94B94">
            <w:pPr>
              <w:pStyle w:val="ListParagraph"/>
              <w:numPr>
                <w:ilvl w:val="0"/>
                <w:numId w:val="2"/>
              </w:numPr>
            </w:pPr>
            <w:r w:rsidRPr="000A5598">
              <w:t xml:space="preserve">Official transcripts from </w:t>
            </w:r>
            <w:r w:rsidRPr="000A5598">
              <w:rPr>
                <w:b/>
              </w:rPr>
              <w:t>all</w:t>
            </w:r>
            <w:r w:rsidRPr="000A5598">
              <w:t xml:space="preserve"> institutions attended, even if you were not awarded a degree. </w:t>
            </w:r>
          </w:p>
          <w:p w:rsidR="00E94B94" w:rsidRDefault="00E94B94" w:rsidP="00E94B94">
            <w:pPr>
              <w:pStyle w:val="ListParagraph"/>
              <w:numPr>
                <w:ilvl w:val="0"/>
                <w:numId w:val="2"/>
              </w:numPr>
            </w:pPr>
            <w:r w:rsidRPr="000A5598">
              <w:t xml:space="preserve">A transcript is considered </w:t>
            </w:r>
            <w:r w:rsidRPr="000A5598">
              <w:rPr>
                <w:b/>
              </w:rPr>
              <w:t>official</w:t>
            </w:r>
            <w:r w:rsidRPr="000A5598">
              <w:t xml:space="preserve"> if it is either sent directly from the institution, or is mailed in an envelope sealed by the issuing institution.</w:t>
            </w:r>
          </w:p>
          <w:p w:rsidR="00E94B94" w:rsidRPr="000A5598" w:rsidRDefault="00E94B94" w:rsidP="00E94B94">
            <w:pPr>
              <w:pStyle w:val="ListParagraph"/>
              <w:numPr>
                <w:ilvl w:val="0"/>
                <w:numId w:val="2"/>
              </w:numPr>
            </w:pPr>
            <w:r w:rsidRPr="000A5598">
              <w:t>Transcripts must demonstrate the following:</w:t>
            </w:r>
            <w:r>
              <w:t xml:space="preserve"> </w:t>
            </w:r>
            <w:r w:rsidRPr="000A5598">
              <w:t>a minimum cumulative</w:t>
            </w:r>
            <w:r w:rsidRPr="00B80F99">
              <w:rPr>
                <w:b/>
              </w:rPr>
              <w:t xml:space="preserve"> GPA</w:t>
            </w:r>
            <w:r w:rsidRPr="000A5598">
              <w:t xml:space="preserve"> of 2.75 on a 4.0 scale (or international equivalent) in all undergraduate work</w:t>
            </w:r>
            <w:r>
              <w:t>.</w:t>
            </w:r>
          </w:p>
          <w:p w:rsidR="00E94B94" w:rsidRDefault="00E94B94" w:rsidP="00E94B94">
            <w:pPr>
              <w:pStyle w:val="ListParagraph"/>
              <w:numPr>
                <w:ilvl w:val="0"/>
                <w:numId w:val="2"/>
              </w:numPr>
            </w:pPr>
            <w:r w:rsidRPr="00B80F99">
              <w:t xml:space="preserve">Applicants must have </w:t>
            </w:r>
            <w:r w:rsidRPr="00B80F99">
              <w:rPr>
                <w:b/>
              </w:rPr>
              <w:t>a bachelor’s degree</w:t>
            </w:r>
            <w:r w:rsidRPr="00B80F99">
              <w:t xml:space="preserve"> from an accredited U.S. college or university, or an equivalent international degree.</w:t>
            </w:r>
          </w:p>
          <w:p w:rsidR="00E94B94" w:rsidRDefault="00E94B94" w:rsidP="00E94B94">
            <w:pPr>
              <w:pStyle w:val="ListParagraph"/>
              <w:numPr>
                <w:ilvl w:val="0"/>
                <w:numId w:val="2"/>
              </w:numPr>
            </w:pPr>
            <w:r w:rsidRPr="00B80F99">
              <w:t xml:space="preserve">All applicants must submit an official transcript of their academic record, including grades. If your transcript is in a language other than English, each page must be accompanied by an </w:t>
            </w:r>
            <w:r w:rsidRPr="00B80F99">
              <w:rPr>
                <w:b/>
              </w:rPr>
              <w:t>English translation</w:t>
            </w:r>
            <w:r w:rsidRPr="00B80F99">
              <w:t>, validated by an official public translator.</w:t>
            </w:r>
          </w:p>
          <w:p w:rsidR="00E94B94" w:rsidRDefault="00E94B94" w:rsidP="00A81060">
            <w:pPr>
              <w:ind w:left="360"/>
            </w:pPr>
          </w:p>
        </w:tc>
      </w:tr>
      <w:tr w:rsidR="00E94B94" w:rsidTr="00A81060">
        <w:tc>
          <w:tcPr>
            <w:tcW w:w="355" w:type="dxa"/>
          </w:tcPr>
          <w:p w:rsidR="00E94B94" w:rsidRDefault="00E94B94" w:rsidP="00A81060">
            <w:r>
              <w:t>2</w:t>
            </w:r>
          </w:p>
        </w:tc>
        <w:tc>
          <w:tcPr>
            <w:tcW w:w="2880" w:type="dxa"/>
          </w:tcPr>
          <w:p w:rsidR="00E94B94" w:rsidRDefault="000575B7" w:rsidP="00A81060">
            <w:hyperlink r:id="rId24" w:anchor="Evidence of Completion" w:history="1">
              <w:r w:rsidR="00E94B94" w:rsidRPr="00B80F99">
                <w:t xml:space="preserve">Evidence of Completion of a University-level Degree Program </w:t>
              </w:r>
            </w:hyperlink>
          </w:p>
        </w:tc>
        <w:tc>
          <w:tcPr>
            <w:tcW w:w="6115" w:type="dxa"/>
          </w:tcPr>
          <w:p w:rsidR="00E94B94" w:rsidRDefault="00E94B94" w:rsidP="00A81060">
            <w:pPr>
              <w:pStyle w:val="ListParagraph"/>
            </w:pPr>
            <w:r w:rsidRPr="00B80F99">
              <w:t xml:space="preserve">International applicants must submit evidence that they have completed the equivalency of a U.S. university-level Bachelor's degree program. </w:t>
            </w:r>
            <w:r w:rsidRPr="00615FBD">
              <w:rPr>
                <w:b/>
              </w:rPr>
              <w:t>Acceptable evidence</w:t>
            </w:r>
            <w:r w:rsidRPr="00B80F99">
              <w:t xml:space="preserve"> includes official copies of diplomas, certificates, and notifications of final examination results.</w:t>
            </w:r>
          </w:p>
        </w:tc>
      </w:tr>
      <w:tr w:rsidR="00E94B94" w:rsidTr="00A81060">
        <w:tc>
          <w:tcPr>
            <w:tcW w:w="355" w:type="dxa"/>
          </w:tcPr>
          <w:p w:rsidR="00E94B94" w:rsidRDefault="00E94B94" w:rsidP="00A81060">
            <w:r>
              <w:t>3</w:t>
            </w:r>
          </w:p>
        </w:tc>
        <w:tc>
          <w:tcPr>
            <w:tcW w:w="2880" w:type="dxa"/>
          </w:tcPr>
          <w:p w:rsidR="00E94B94" w:rsidRPr="00615FBD" w:rsidRDefault="000575B7" w:rsidP="00A81060">
            <w:pPr>
              <w:shd w:val="clear" w:color="auto" w:fill="FFFFFF"/>
              <w:spacing w:before="100" w:beforeAutospacing="1" w:after="100" w:afterAutospacing="1" w:line="300" w:lineRule="atLeast"/>
            </w:pPr>
            <w:hyperlink r:id="rId25" w:anchor="Letters" w:history="1">
              <w:r w:rsidR="00E94B94" w:rsidRPr="00615FBD">
                <w:t>Letters of Recommendation</w:t>
              </w:r>
            </w:hyperlink>
          </w:p>
          <w:p w:rsidR="00E94B94" w:rsidRPr="000A5598" w:rsidRDefault="00E94B94" w:rsidP="00A81060"/>
        </w:tc>
        <w:tc>
          <w:tcPr>
            <w:tcW w:w="6115" w:type="dxa"/>
          </w:tcPr>
          <w:p w:rsidR="00E94B94" w:rsidRDefault="00E94B94" w:rsidP="00E94B94">
            <w:pPr>
              <w:pStyle w:val="ListParagraph"/>
              <w:numPr>
                <w:ilvl w:val="0"/>
                <w:numId w:val="5"/>
              </w:numPr>
              <w:shd w:val="clear" w:color="auto" w:fill="FFFFFF"/>
              <w:spacing w:before="100" w:beforeAutospacing="1" w:after="100" w:afterAutospacing="1" w:line="300" w:lineRule="atLeast"/>
            </w:pPr>
            <w:r w:rsidRPr="00085088">
              <w:t xml:space="preserve">Applicants must submit three </w:t>
            </w:r>
            <w:r w:rsidRPr="00085088">
              <w:rPr>
                <w:b/>
              </w:rPr>
              <w:t>(3) letters</w:t>
            </w:r>
            <w:r>
              <w:t xml:space="preserve"> of recommendation.</w:t>
            </w:r>
          </w:p>
          <w:p w:rsidR="00E94B94" w:rsidRDefault="00E94B94" w:rsidP="00E94B94">
            <w:pPr>
              <w:pStyle w:val="ListParagraph"/>
              <w:numPr>
                <w:ilvl w:val="0"/>
                <w:numId w:val="5"/>
              </w:numPr>
              <w:shd w:val="clear" w:color="auto" w:fill="FFFFFF"/>
              <w:spacing w:before="100" w:beforeAutospacing="1" w:after="100" w:afterAutospacing="1" w:line="300" w:lineRule="atLeast"/>
            </w:pPr>
            <w:r>
              <w:t>F</w:t>
            </w:r>
            <w:r w:rsidRPr="00085088">
              <w:t>ormer professors familiar with the applicant’s academic abilities and capacity to perform graduate-level work provide the strongest recommendations; at least one letter should fit this description</w:t>
            </w:r>
            <w:r>
              <w:t>.</w:t>
            </w:r>
          </w:p>
          <w:p w:rsidR="00E94B94" w:rsidRDefault="00E94B94" w:rsidP="00E94B94">
            <w:pPr>
              <w:pStyle w:val="ListParagraph"/>
              <w:numPr>
                <w:ilvl w:val="0"/>
                <w:numId w:val="5"/>
              </w:numPr>
              <w:shd w:val="clear" w:color="auto" w:fill="FFFFFF"/>
              <w:spacing w:before="100" w:beforeAutospacing="1" w:after="100" w:afterAutospacing="1" w:line="300" w:lineRule="atLeast"/>
            </w:pPr>
            <w:r>
              <w:t>R</w:t>
            </w:r>
            <w:r w:rsidRPr="00085088">
              <w:t xml:space="preserve">ecommenders should have worked closely with the applicant in an academic, professional, or community </w:t>
            </w:r>
            <w:r w:rsidRPr="00085088">
              <w:lastRenderedPageBreak/>
              <w:t>service setting</w:t>
            </w:r>
            <w:r>
              <w:t>.</w:t>
            </w:r>
          </w:p>
          <w:p w:rsidR="00E94B94" w:rsidRDefault="00E94B94" w:rsidP="00E94B94">
            <w:pPr>
              <w:pStyle w:val="ListParagraph"/>
              <w:numPr>
                <w:ilvl w:val="0"/>
                <w:numId w:val="5"/>
              </w:numPr>
              <w:shd w:val="clear" w:color="auto" w:fill="FFFFFF"/>
              <w:spacing w:before="100" w:beforeAutospacing="1" w:after="100" w:afterAutospacing="1" w:line="300" w:lineRule="atLeast"/>
            </w:pPr>
            <w:r>
              <w:t>L</w:t>
            </w:r>
            <w:r w:rsidRPr="00085088">
              <w:t>etters should not be written by friends or family members of the applicant</w:t>
            </w:r>
            <w:r>
              <w:t>.</w:t>
            </w:r>
          </w:p>
          <w:p w:rsidR="00E94B94" w:rsidRPr="00085088" w:rsidRDefault="00E94B94" w:rsidP="00E94B94">
            <w:pPr>
              <w:pStyle w:val="ListParagraph"/>
              <w:numPr>
                <w:ilvl w:val="0"/>
                <w:numId w:val="5"/>
              </w:numPr>
              <w:shd w:val="clear" w:color="auto" w:fill="FFFFFF"/>
              <w:spacing w:before="100" w:beforeAutospacing="1" w:after="100" w:afterAutospacing="1" w:line="300" w:lineRule="atLeast"/>
            </w:pPr>
            <w:r>
              <w:t>L</w:t>
            </w:r>
            <w:r w:rsidRPr="00085088">
              <w:t>etters should focus on the applicant’s abilities and past academic performance, while also indicating an ability to effectively complete graduate-level work</w:t>
            </w:r>
            <w:r>
              <w:t>.</w:t>
            </w:r>
          </w:p>
          <w:p w:rsidR="00E94B94" w:rsidRPr="00085088" w:rsidRDefault="00E94B94" w:rsidP="00A81060">
            <w:pPr>
              <w:pStyle w:val="ListParagraph"/>
              <w:rPr>
                <w:lang w:val="en"/>
              </w:rPr>
            </w:pPr>
          </w:p>
        </w:tc>
      </w:tr>
      <w:tr w:rsidR="00E94B94" w:rsidTr="00A81060">
        <w:tc>
          <w:tcPr>
            <w:tcW w:w="355" w:type="dxa"/>
          </w:tcPr>
          <w:p w:rsidR="00E94B94" w:rsidRDefault="00E94B94" w:rsidP="00A81060">
            <w:r>
              <w:lastRenderedPageBreak/>
              <w:t>4</w:t>
            </w:r>
          </w:p>
        </w:tc>
        <w:tc>
          <w:tcPr>
            <w:tcW w:w="2880" w:type="dxa"/>
          </w:tcPr>
          <w:p w:rsidR="00E94B94" w:rsidRPr="00615FBD" w:rsidRDefault="000575B7" w:rsidP="00A81060">
            <w:pPr>
              <w:shd w:val="clear" w:color="auto" w:fill="FFFFFF"/>
              <w:spacing w:before="100" w:beforeAutospacing="1" w:after="100" w:afterAutospacing="1" w:line="300" w:lineRule="atLeast"/>
            </w:pPr>
            <w:hyperlink r:id="rId26" w:anchor="Statement" w:history="1">
              <w:r w:rsidR="00E94B94" w:rsidRPr="00615FBD">
                <w:t>Statement of Purpose</w:t>
              </w:r>
            </w:hyperlink>
          </w:p>
          <w:p w:rsidR="00E94B94" w:rsidRPr="000A5598" w:rsidRDefault="00E94B94" w:rsidP="00A81060"/>
        </w:tc>
        <w:tc>
          <w:tcPr>
            <w:tcW w:w="6115" w:type="dxa"/>
          </w:tcPr>
          <w:p w:rsidR="00E94B94" w:rsidRPr="00085088" w:rsidRDefault="00E94B94" w:rsidP="00E94B94">
            <w:pPr>
              <w:pStyle w:val="ListParagraph"/>
              <w:numPr>
                <w:ilvl w:val="0"/>
                <w:numId w:val="6"/>
              </w:numPr>
              <w:shd w:val="clear" w:color="auto" w:fill="FFFFFF"/>
              <w:spacing w:before="100" w:beforeAutospacing="1" w:after="100" w:afterAutospacing="1" w:line="300" w:lineRule="atLeast"/>
            </w:pPr>
            <w:r w:rsidRPr="00085088">
              <w:t>The statement of purpose is your opportunity to show the graduate admissions committee your reasons for wishing to pursue graduate study, as well as your specific interests and goals.</w:t>
            </w:r>
          </w:p>
          <w:p w:rsidR="00E94B94" w:rsidRDefault="00E94B94" w:rsidP="00E94B94">
            <w:pPr>
              <w:pStyle w:val="ListParagraph"/>
              <w:numPr>
                <w:ilvl w:val="0"/>
                <w:numId w:val="6"/>
              </w:numPr>
              <w:shd w:val="clear" w:color="auto" w:fill="FFFFFF"/>
              <w:spacing w:before="100" w:beforeAutospacing="1" w:after="100" w:afterAutospacing="1" w:line="300" w:lineRule="atLeast"/>
            </w:pPr>
            <w:r w:rsidRPr="00085088">
              <w:t>The two-part statement should consist of the following:</w:t>
            </w:r>
            <w:r>
              <w:t xml:space="preserve"> </w:t>
            </w:r>
            <w:r w:rsidRPr="00085088">
              <w:t>an initial section of up to 300 words describing your reasons for wishing to pursue graduate studies</w:t>
            </w:r>
            <w:r>
              <w:t xml:space="preserve">; </w:t>
            </w:r>
            <w:r w:rsidRPr="00085088">
              <w:t>a second section of no less than 1,200 words describing your specific interests, the kind of work you intend to perform, and your goals within the program to which you are applying</w:t>
            </w:r>
            <w:r>
              <w:t>.</w:t>
            </w:r>
          </w:p>
          <w:p w:rsidR="00E94B94" w:rsidRDefault="00E94B94" w:rsidP="00E94B94">
            <w:pPr>
              <w:pStyle w:val="ListParagraph"/>
              <w:numPr>
                <w:ilvl w:val="0"/>
                <w:numId w:val="6"/>
              </w:numPr>
              <w:shd w:val="clear" w:color="auto" w:fill="FFFFFF"/>
              <w:spacing w:before="100" w:beforeAutospacing="1" w:after="100" w:afterAutospacing="1" w:line="300" w:lineRule="atLeast"/>
            </w:pPr>
            <w:r w:rsidRPr="00085088">
              <w:t xml:space="preserve">The program to which you are applying may have other instructions regarding the content and nature of this statement. </w:t>
            </w:r>
            <w:r w:rsidRPr="00085088">
              <w:rPr>
                <w:b/>
              </w:rPr>
              <w:t>Departmental requirements</w:t>
            </w:r>
            <w:r w:rsidRPr="00085088">
              <w:t xml:space="preserve"> supersede these general requirements. Be sure to check with your intended </w:t>
            </w:r>
            <w:hyperlink r:id="rId27" w:history="1">
              <w:r w:rsidRPr="00085088">
                <w:t>program of study</w:t>
              </w:r>
            </w:hyperlink>
            <w:r w:rsidRPr="00085088">
              <w:t xml:space="preserve"> to ensure you correctly complete the statement of purpose.</w:t>
            </w:r>
          </w:p>
          <w:p w:rsidR="00E94B94" w:rsidRPr="00787556" w:rsidRDefault="00E94B94" w:rsidP="00E94B94">
            <w:pPr>
              <w:pStyle w:val="ListParagraph"/>
              <w:numPr>
                <w:ilvl w:val="0"/>
                <w:numId w:val="6"/>
              </w:numPr>
              <w:shd w:val="clear" w:color="auto" w:fill="FFFFFF"/>
              <w:spacing w:before="100" w:beforeAutospacing="1" w:after="100" w:afterAutospacing="1" w:line="300" w:lineRule="atLeast"/>
            </w:pPr>
            <w:r w:rsidRPr="00085088">
              <w:t>The statement</w:t>
            </w:r>
            <w:r>
              <w:t xml:space="preserve"> should follow these </w:t>
            </w:r>
            <w:r w:rsidRPr="00085088">
              <w:rPr>
                <w:b/>
              </w:rPr>
              <w:t xml:space="preserve">formatting </w:t>
            </w:r>
            <w:r w:rsidRPr="00085088">
              <w:t>guidelines:</w:t>
            </w:r>
            <w:r>
              <w:t xml:space="preserve"> </w:t>
            </w:r>
            <w:r w:rsidRPr="00085088">
              <w:t>essays should be typed</w:t>
            </w:r>
            <w:r>
              <w:t xml:space="preserve">; </w:t>
            </w:r>
            <w:r w:rsidRPr="00085088">
              <w:t>each page must have a heading that includes your name and the last four digits of your Social Security Number, if available</w:t>
            </w:r>
            <w:r>
              <w:t xml:space="preserve">; </w:t>
            </w:r>
            <w:r w:rsidRPr="00085088">
              <w:t>if mailed, the essay must be printed on plain, U.S. letter-size paper</w:t>
            </w:r>
            <w:r>
              <w:t>.</w:t>
            </w:r>
          </w:p>
        </w:tc>
      </w:tr>
      <w:tr w:rsidR="00E94B94" w:rsidTr="00A81060">
        <w:tc>
          <w:tcPr>
            <w:tcW w:w="355" w:type="dxa"/>
          </w:tcPr>
          <w:p w:rsidR="00E94B94" w:rsidRDefault="00E94B94" w:rsidP="00A81060">
            <w:r>
              <w:t>5</w:t>
            </w:r>
          </w:p>
        </w:tc>
        <w:tc>
          <w:tcPr>
            <w:tcW w:w="2880" w:type="dxa"/>
          </w:tcPr>
          <w:p w:rsidR="00E94B94" w:rsidRDefault="00E94B94" w:rsidP="00A81060">
            <w:pPr>
              <w:shd w:val="clear" w:color="auto" w:fill="FFFFFF"/>
              <w:spacing w:before="100" w:beforeAutospacing="1" w:after="100" w:afterAutospacing="1" w:line="300" w:lineRule="atLeast"/>
            </w:pPr>
            <w:r>
              <w:t>Tests scores:</w:t>
            </w:r>
          </w:p>
          <w:p w:rsidR="00E94B94" w:rsidRDefault="00E94B94" w:rsidP="00A81060">
            <w:pPr>
              <w:shd w:val="clear" w:color="auto" w:fill="FFFFFF"/>
              <w:spacing w:before="100" w:beforeAutospacing="1" w:after="100" w:afterAutospacing="1" w:line="300" w:lineRule="atLeast"/>
            </w:pPr>
            <w:r>
              <w:t xml:space="preserve">1). </w:t>
            </w:r>
            <w:hyperlink r:id="rId28" w:anchor="Test of English" w:history="1">
              <w:r w:rsidRPr="00B80F99">
                <w:t xml:space="preserve">Test of English as a Foreign Language (TOEFL) or International English Language Testing System (IELTS) Exam Scores </w:t>
              </w:r>
            </w:hyperlink>
          </w:p>
          <w:p w:rsidR="00E94B94" w:rsidRPr="000A5598" w:rsidRDefault="00E94B94" w:rsidP="00A81060">
            <w:pPr>
              <w:shd w:val="clear" w:color="auto" w:fill="FFFFFF"/>
              <w:spacing w:before="100" w:beforeAutospacing="1" w:after="100" w:afterAutospacing="1" w:line="300" w:lineRule="atLeast"/>
            </w:pPr>
            <w:r>
              <w:t>2). GRE/GMAT scores</w:t>
            </w:r>
          </w:p>
          <w:p w:rsidR="00E94B94" w:rsidRPr="00B80F99" w:rsidRDefault="00E94B94" w:rsidP="00A81060">
            <w:pPr>
              <w:rPr>
                <w:lang w:val="en"/>
              </w:rPr>
            </w:pPr>
          </w:p>
        </w:tc>
        <w:tc>
          <w:tcPr>
            <w:tcW w:w="6115" w:type="dxa"/>
          </w:tcPr>
          <w:p w:rsidR="00E94B94" w:rsidRPr="00787556" w:rsidRDefault="00E94B94" w:rsidP="00E94B94">
            <w:pPr>
              <w:pStyle w:val="ListParagraph"/>
              <w:numPr>
                <w:ilvl w:val="0"/>
                <w:numId w:val="3"/>
              </w:numPr>
              <w:rPr>
                <w:color w:val="00B0F0"/>
              </w:rPr>
            </w:pPr>
            <w:r w:rsidRPr="00615FBD">
              <w:t>I</w:t>
            </w:r>
            <w:r w:rsidRPr="00D700AC">
              <w:t xml:space="preserve">nternational applicants must submit </w:t>
            </w:r>
            <w:r w:rsidRPr="00615FBD">
              <w:rPr>
                <w:b/>
              </w:rPr>
              <w:t xml:space="preserve">official score </w:t>
            </w:r>
            <w:r w:rsidRPr="00D700AC">
              <w:t xml:space="preserve">results for either the </w:t>
            </w:r>
            <w:hyperlink r:id="rId29" w:history="1">
              <w:r w:rsidRPr="00D700AC">
                <w:t xml:space="preserve">Test of English as a Foreign Language (TOEFL) </w:t>
              </w:r>
            </w:hyperlink>
            <w:r w:rsidRPr="00D700AC">
              <w:t>or the</w:t>
            </w:r>
            <w:hyperlink r:id="rId30" w:history="1">
              <w:r w:rsidRPr="00D700AC">
                <w:t xml:space="preserve"> International English Language Testing System (IELTS)</w:t>
              </w:r>
            </w:hyperlink>
            <w:r w:rsidRPr="00D700AC">
              <w:t xml:space="preserve"> exam. Please have the testing agency report results </w:t>
            </w:r>
            <w:r w:rsidRPr="00615FBD">
              <w:t>directly</w:t>
            </w:r>
            <w:r w:rsidRPr="00D700AC">
              <w:t xml:space="preserve"> to UMass Boston.</w:t>
            </w:r>
            <w:r>
              <w:t xml:space="preserve"> </w:t>
            </w:r>
            <w:r w:rsidRPr="00787556">
              <w:rPr>
                <w:color w:val="00B0F0"/>
              </w:rPr>
              <w:t>(minimum score see attachment 1)</w:t>
            </w:r>
          </w:p>
          <w:p w:rsidR="00E94B94" w:rsidRDefault="00E94B94" w:rsidP="00E94B94">
            <w:pPr>
              <w:pStyle w:val="ListParagraph"/>
              <w:numPr>
                <w:ilvl w:val="0"/>
                <w:numId w:val="3"/>
              </w:numPr>
            </w:pPr>
            <w:r w:rsidRPr="00D700AC">
              <w:t xml:space="preserve">Applicants are </w:t>
            </w:r>
            <w:r w:rsidRPr="00615FBD">
              <w:rPr>
                <w:b/>
              </w:rPr>
              <w:t>exempt from</w:t>
            </w:r>
            <w:r w:rsidRPr="00D700AC">
              <w:t xml:space="preserve"> submitting these test scores if they have received </w:t>
            </w:r>
            <w:r w:rsidRPr="00615FBD">
              <w:t xml:space="preserve">at least four (4) years </w:t>
            </w:r>
            <w:r w:rsidRPr="00D700AC">
              <w:t xml:space="preserve">of education (including their undergraduate program) in the </w:t>
            </w:r>
            <w:r w:rsidRPr="00020AD2">
              <w:rPr>
                <w:i/>
              </w:rPr>
              <w:t>United States, Australia, Bahamas, Barbados, Belize,  Canada (except Quebec), Dominica, Grenada, Grand Cayman, Guyana, Ireland, Jamaica, Kenya, Liberia,  New Zealand, Trinidad/Tobago, Singapore, or the United Kingdom</w:t>
            </w:r>
            <w:r w:rsidRPr="00D700AC">
              <w:t>.</w:t>
            </w:r>
          </w:p>
          <w:p w:rsidR="00E94B94" w:rsidRDefault="00E94B94" w:rsidP="00E94B94">
            <w:pPr>
              <w:pStyle w:val="ListParagraph"/>
              <w:numPr>
                <w:ilvl w:val="0"/>
                <w:numId w:val="3"/>
              </w:numPr>
            </w:pPr>
            <w:r w:rsidRPr="00D700AC">
              <w:t>The requirement </w:t>
            </w:r>
            <w:r w:rsidRPr="00615FBD">
              <w:t xml:space="preserve">may also </w:t>
            </w:r>
            <w:r w:rsidRPr="00615FBD">
              <w:rPr>
                <w:b/>
              </w:rPr>
              <w:t>be waived</w:t>
            </w:r>
            <w:r w:rsidRPr="00D700AC">
              <w:t xml:space="preserve"> if the applicant has </w:t>
            </w:r>
            <w:r w:rsidRPr="00615FBD">
              <w:lastRenderedPageBreak/>
              <w:t>completed</w:t>
            </w:r>
            <w:r w:rsidRPr="00D700AC">
              <w:t xml:space="preserve"> at least two (2) academic years of study, full-time, at an English-speaking college or university in the U.S., by the deadline of the program to which they are applying.</w:t>
            </w:r>
          </w:p>
          <w:p w:rsidR="00E94B94" w:rsidRDefault="00E94B94" w:rsidP="00E94B94">
            <w:pPr>
              <w:pStyle w:val="ListParagraph"/>
              <w:numPr>
                <w:ilvl w:val="0"/>
                <w:numId w:val="3"/>
              </w:numPr>
            </w:pPr>
            <w:r w:rsidRPr="00020AD2">
              <w:rPr>
                <w:b/>
              </w:rPr>
              <w:t>Permanent resident immigrants and U.S. citizens</w:t>
            </w:r>
            <w:r w:rsidRPr="00D700AC">
              <w:t xml:space="preserve"> who have not met the above requirements are also required to submit scores from either the TOEFL or IELTS.</w:t>
            </w:r>
          </w:p>
          <w:p w:rsidR="00E94B94" w:rsidRDefault="00E94B94" w:rsidP="00E94B94">
            <w:pPr>
              <w:pStyle w:val="ListParagraph"/>
              <w:numPr>
                <w:ilvl w:val="0"/>
                <w:numId w:val="3"/>
              </w:numPr>
              <w:shd w:val="clear" w:color="auto" w:fill="FFFFFF"/>
              <w:spacing w:before="100" w:beforeAutospacing="1" w:after="100" w:afterAutospacing="1" w:line="300" w:lineRule="atLeast"/>
            </w:pPr>
            <w:r w:rsidRPr="00615FBD">
              <w:t xml:space="preserve">Refer to your intended </w:t>
            </w:r>
            <w:hyperlink r:id="rId31" w:history="1">
              <w:r w:rsidRPr="00615FBD">
                <w:t>graduate program</w:t>
              </w:r>
            </w:hyperlink>
            <w:r w:rsidRPr="00615FBD">
              <w:t xml:space="preserve"> of study to determine which test scores are required</w:t>
            </w:r>
            <w:r>
              <w:t xml:space="preserve"> (</w:t>
            </w:r>
            <w:r w:rsidRPr="00615FBD">
              <w:rPr>
                <w:b/>
              </w:rPr>
              <w:t>GRE/GMAT</w:t>
            </w:r>
            <w:r>
              <w:t>)</w:t>
            </w:r>
            <w:r w:rsidRPr="00615FBD">
              <w:t xml:space="preserve">. Please have the testing agency send your test scores directly to UMass Boston. UMass Boston’s Graduate Record Examination </w:t>
            </w:r>
            <w:r w:rsidRPr="00615FBD">
              <w:rPr>
                <w:b/>
              </w:rPr>
              <w:t>(GRE) code is 3924</w:t>
            </w:r>
            <w:r w:rsidRPr="00615FBD">
              <w:t>.</w:t>
            </w:r>
          </w:p>
        </w:tc>
      </w:tr>
      <w:tr w:rsidR="00E94B94" w:rsidTr="00A81060">
        <w:tc>
          <w:tcPr>
            <w:tcW w:w="355" w:type="dxa"/>
          </w:tcPr>
          <w:p w:rsidR="00E94B94" w:rsidRDefault="00E94B94" w:rsidP="00A81060">
            <w:r>
              <w:lastRenderedPageBreak/>
              <w:t>6</w:t>
            </w:r>
          </w:p>
        </w:tc>
        <w:tc>
          <w:tcPr>
            <w:tcW w:w="2880" w:type="dxa"/>
          </w:tcPr>
          <w:p w:rsidR="00E94B94" w:rsidRDefault="000575B7" w:rsidP="00A81060">
            <w:hyperlink r:id="rId32" w:anchor="Completed Declaration" w:history="1">
              <w:r w:rsidR="00E94B94" w:rsidRPr="00D700AC">
                <w:t xml:space="preserve">Completed "Declaration and Certification of Finances Form"(Application for an I-20) </w:t>
              </w:r>
            </w:hyperlink>
          </w:p>
        </w:tc>
        <w:tc>
          <w:tcPr>
            <w:tcW w:w="6115" w:type="dxa"/>
          </w:tcPr>
          <w:p w:rsidR="00E94B94" w:rsidRDefault="00E94B94" w:rsidP="00E94B94">
            <w:pPr>
              <w:pStyle w:val="ListParagraph"/>
              <w:numPr>
                <w:ilvl w:val="0"/>
                <w:numId w:val="4"/>
              </w:numPr>
              <w:shd w:val="clear" w:color="auto" w:fill="FFFFFF"/>
              <w:spacing w:before="100" w:beforeAutospacing="1" w:after="100" w:afterAutospacing="1" w:line="300" w:lineRule="atLeast"/>
            </w:pPr>
            <w:r w:rsidRPr="00615FBD">
              <w:t xml:space="preserve">International applicants must download and complete </w:t>
            </w:r>
            <w:r w:rsidRPr="00020AD2">
              <w:rPr>
                <w:color w:val="00B0F0"/>
              </w:rPr>
              <w:t xml:space="preserve">the </w:t>
            </w:r>
            <w:hyperlink r:id="rId33" w:history="1">
              <w:r w:rsidRPr="00020AD2">
                <w:rPr>
                  <w:color w:val="00B0F0"/>
                </w:rPr>
                <w:t>Declaration and Certification of Finances Form</w:t>
              </w:r>
            </w:hyperlink>
            <w:r w:rsidRPr="00615FBD">
              <w:t xml:space="preserve">. The form must </w:t>
            </w:r>
            <w:r w:rsidRPr="00DD05E4">
              <w:t>be accompanied by an affidavit of support from the student’s sponsor, as well as documentation from the sponsor’s bank showing the ability to cover all costs for the duration of study based upon the Estimate of Institutional Costs and Living Expenses Table provided below. If an applicant will be sponsoring his/herself, s/he must provide his/her own bank statement(s).</w:t>
            </w:r>
          </w:p>
          <w:p w:rsidR="00E94B94" w:rsidRPr="00DD05E4" w:rsidRDefault="00E94B94" w:rsidP="00E94B94">
            <w:pPr>
              <w:pStyle w:val="ListParagraph"/>
              <w:numPr>
                <w:ilvl w:val="0"/>
                <w:numId w:val="4"/>
              </w:numPr>
              <w:shd w:val="clear" w:color="auto" w:fill="FFFFFF"/>
              <w:spacing w:before="100" w:beforeAutospacing="1" w:after="100" w:afterAutospacing="1" w:line="300" w:lineRule="atLeast"/>
            </w:pPr>
            <w:r w:rsidRPr="00DD05E4">
              <w:t xml:space="preserve">The form must be </w:t>
            </w:r>
            <w:r w:rsidRPr="00020AD2">
              <w:rPr>
                <w:b/>
              </w:rPr>
              <w:t>completed accurately</w:t>
            </w:r>
            <w:r w:rsidRPr="00DD05E4">
              <w:t>, and show that the total funds available to the student cover his/her full period of study.</w:t>
            </w:r>
          </w:p>
          <w:p w:rsidR="00E94B94" w:rsidRPr="00787556" w:rsidRDefault="00E94B94" w:rsidP="00E94B94">
            <w:pPr>
              <w:pStyle w:val="ListParagraph"/>
              <w:numPr>
                <w:ilvl w:val="0"/>
                <w:numId w:val="4"/>
              </w:numPr>
              <w:shd w:val="clear" w:color="auto" w:fill="FFFFFF"/>
              <w:spacing w:before="100" w:beforeAutospacing="1" w:after="100" w:afterAutospacing="1" w:line="300" w:lineRule="atLeast"/>
              <w:rPr>
                <w:color w:val="00B0F0"/>
              </w:rPr>
            </w:pPr>
            <w:r w:rsidRPr="00DD05E4">
              <w:t>The table below provides an estimate of the annual expenses for a single, international graduate student. Please keep in mind that this cost estimate is based upon a 12-month period, and, depending on the individual, actual costs may be higher.</w:t>
            </w:r>
            <w:r>
              <w:t xml:space="preserve"> </w:t>
            </w:r>
            <w:r w:rsidRPr="00787556">
              <w:rPr>
                <w:color w:val="00B0F0"/>
              </w:rPr>
              <w:t>(estimated costs see attachment2)</w:t>
            </w:r>
          </w:p>
          <w:p w:rsidR="00E94B94" w:rsidRPr="00615FBD" w:rsidRDefault="00E94B94" w:rsidP="00E94B94">
            <w:pPr>
              <w:pStyle w:val="ListParagraph"/>
              <w:numPr>
                <w:ilvl w:val="0"/>
                <w:numId w:val="4"/>
              </w:numPr>
              <w:shd w:val="clear" w:color="auto" w:fill="FFFFFF"/>
              <w:spacing w:before="100" w:beforeAutospacing="1" w:after="100" w:afterAutospacing="1" w:line="300" w:lineRule="atLeast"/>
            </w:pPr>
            <w:r w:rsidRPr="00EA3A08">
              <w:t xml:space="preserve">Applicants must be prepared to pay their own expenses, and should also anticipate yearly increases in institutional costs (such as tuition and fees) and living expenses. For a complete listing of fees, refer to the </w:t>
            </w:r>
            <w:hyperlink r:id="rId34" w:history="1">
              <w:r w:rsidRPr="00615FBD">
                <w:t>Tuition and Fees</w:t>
              </w:r>
            </w:hyperlink>
            <w:r w:rsidRPr="00615FBD">
              <w:t xml:space="preserve"> </w:t>
            </w:r>
            <w:r w:rsidRPr="00EA3A08">
              <w:t>page of the Bursar’s Office. Transportation to and from the U.S. is not included in this estimate. International students are required to pay non-resident tuition and fees.</w:t>
            </w:r>
          </w:p>
        </w:tc>
      </w:tr>
      <w:tr w:rsidR="00E94B94" w:rsidTr="00A81060">
        <w:tc>
          <w:tcPr>
            <w:tcW w:w="355" w:type="dxa"/>
          </w:tcPr>
          <w:p w:rsidR="00E94B94" w:rsidRDefault="00E94B94" w:rsidP="00A81060">
            <w:r>
              <w:t>7</w:t>
            </w:r>
          </w:p>
        </w:tc>
        <w:tc>
          <w:tcPr>
            <w:tcW w:w="2880" w:type="dxa"/>
          </w:tcPr>
          <w:p w:rsidR="00E94B94" w:rsidRPr="00EA3A08" w:rsidRDefault="000575B7" w:rsidP="00A81060">
            <w:pPr>
              <w:shd w:val="clear" w:color="auto" w:fill="FFFFFF"/>
              <w:spacing w:before="100" w:beforeAutospacing="1" w:after="100" w:afterAutospacing="1" w:line="300" w:lineRule="atLeast"/>
            </w:pPr>
            <w:hyperlink r:id="rId35" w:anchor="Completed Transfer" w:history="1">
              <w:r w:rsidR="00E94B94" w:rsidRPr="00EA3A08">
                <w:t xml:space="preserve">Completed "Transfer Verification Form", if needed </w:t>
              </w:r>
            </w:hyperlink>
          </w:p>
          <w:p w:rsidR="00E94B94" w:rsidRPr="005A33F4" w:rsidRDefault="00E94B94" w:rsidP="00A81060">
            <w:pPr>
              <w:rPr>
                <w:lang w:val="en"/>
              </w:rPr>
            </w:pPr>
          </w:p>
        </w:tc>
        <w:tc>
          <w:tcPr>
            <w:tcW w:w="6115" w:type="dxa"/>
          </w:tcPr>
          <w:p w:rsidR="00E94B94" w:rsidRDefault="00E94B94" w:rsidP="00A81060">
            <w:pPr>
              <w:pStyle w:val="ListParagraph"/>
            </w:pPr>
            <w:r w:rsidRPr="00EA3A08">
              <w:t xml:space="preserve">If the applicant holds an I-20 from another U.S. institution, a </w:t>
            </w:r>
            <w:hyperlink r:id="rId36" w:history="1">
              <w:r w:rsidRPr="00615FBD">
                <w:t xml:space="preserve">Transfer Verification Form </w:t>
              </w:r>
            </w:hyperlink>
            <w:r w:rsidRPr="00EA3A08">
              <w:t xml:space="preserve">must be completed by the International Student Advisor at the institution the student is currently attending, or if not </w:t>
            </w:r>
            <w:r w:rsidRPr="00EA3A08">
              <w:lastRenderedPageBreak/>
              <w:t>currently enrolled, the institution most recently attended.</w:t>
            </w:r>
          </w:p>
        </w:tc>
      </w:tr>
      <w:tr w:rsidR="00E94B94" w:rsidTr="00A81060">
        <w:tc>
          <w:tcPr>
            <w:tcW w:w="355" w:type="dxa"/>
          </w:tcPr>
          <w:p w:rsidR="00E94B94" w:rsidRDefault="00E94B94" w:rsidP="00A81060">
            <w:r>
              <w:lastRenderedPageBreak/>
              <w:t>8</w:t>
            </w:r>
          </w:p>
        </w:tc>
        <w:tc>
          <w:tcPr>
            <w:tcW w:w="2880" w:type="dxa"/>
          </w:tcPr>
          <w:p w:rsidR="00E94B94" w:rsidRPr="00EA3A08" w:rsidRDefault="000575B7" w:rsidP="00A81060">
            <w:pPr>
              <w:shd w:val="clear" w:color="auto" w:fill="FFFFFF"/>
              <w:spacing w:before="100" w:beforeAutospacing="1" w:after="100" w:afterAutospacing="1" w:line="300" w:lineRule="atLeast"/>
            </w:pPr>
            <w:hyperlink r:id="rId37" w:anchor="Fee" w:history="1">
              <w:r w:rsidR="00E94B94" w:rsidRPr="00EA3A08">
                <w:t xml:space="preserve">International Applicant Fee </w:t>
              </w:r>
            </w:hyperlink>
          </w:p>
          <w:p w:rsidR="00E94B94" w:rsidRDefault="00E94B94" w:rsidP="00A81060"/>
        </w:tc>
        <w:tc>
          <w:tcPr>
            <w:tcW w:w="6115" w:type="dxa"/>
          </w:tcPr>
          <w:p w:rsidR="00E94B94" w:rsidRPr="00615FBD" w:rsidRDefault="00E94B94" w:rsidP="00A81060">
            <w:pPr>
              <w:shd w:val="clear" w:color="auto" w:fill="FFFFFF"/>
              <w:spacing w:before="100" w:beforeAutospacing="1" w:after="100" w:afterAutospacing="1" w:line="300" w:lineRule="atLeast"/>
            </w:pPr>
            <w:r>
              <w:t xml:space="preserve">   </w:t>
            </w:r>
            <w:proofErr w:type="spellStart"/>
            <w:r>
              <w:t>Renmin</w:t>
            </w:r>
            <w:proofErr w:type="spellEnd"/>
            <w:r>
              <w:t xml:space="preserve"> Project Recruitment Only:  Fee waived until March 26, 2014.</w:t>
            </w:r>
          </w:p>
        </w:tc>
      </w:tr>
      <w:tr w:rsidR="00E94B94" w:rsidTr="00A81060">
        <w:tc>
          <w:tcPr>
            <w:tcW w:w="9350" w:type="dxa"/>
            <w:gridSpan w:val="3"/>
          </w:tcPr>
          <w:p w:rsidR="00E94B94" w:rsidRDefault="00E94B94" w:rsidP="00E94B94">
            <w:pPr>
              <w:pStyle w:val="ListParagraph"/>
              <w:numPr>
                <w:ilvl w:val="0"/>
                <w:numId w:val="7"/>
              </w:numPr>
              <w:shd w:val="clear" w:color="auto" w:fill="FFFFFF"/>
              <w:spacing w:before="100" w:beforeAutospacing="1" w:after="100" w:afterAutospacing="1" w:line="300" w:lineRule="atLeast"/>
            </w:pPr>
            <w:r>
              <w:t>Some programs has specific departmental requirements, double check with the program you wish to apply.</w:t>
            </w:r>
          </w:p>
          <w:p w:rsidR="00E94B94" w:rsidRDefault="00E94B94" w:rsidP="00E94B94">
            <w:pPr>
              <w:pStyle w:val="ListParagraph"/>
              <w:numPr>
                <w:ilvl w:val="0"/>
                <w:numId w:val="7"/>
              </w:numPr>
              <w:shd w:val="clear" w:color="auto" w:fill="FFFFFF"/>
              <w:spacing w:before="100" w:beforeAutospacing="1" w:after="100" w:afterAutospacing="1" w:line="300" w:lineRule="atLeast"/>
            </w:pPr>
            <w:r>
              <w:t xml:space="preserve">Most of the application materials can be sent through online application system at </w:t>
            </w:r>
            <w:hyperlink r:id="rId38" w:history="1">
              <w:r w:rsidRPr="00E87EE9">
                <w:rPr>
                  <w:rStyle w:val="Hyperlink"/>
                </w:rPr>
                <w:t>http://www.umb.edu/admissions/grad/apply</w:t>
              </w:r>
            </w:hyperlink>
            <w:r>
              <w:t xml:space="preserve"> </w:t>
            </w:r>
          </w:p>
          <w:p w:rsidR="00E94B94" w:rsidRDefault="00E94B94" w:rsidP="00E94B94">
            <w:pPr>
              <w:pStyle w:val="ListParagraph"/>
              <w:numPr>
                <w:ilvl w:val="0"/>
                <w:numId w:val="7"/>
              </w:numPr>
              <w:shd w:val="clear" w:color="auto" w:fill="FFFFFF"/>
              <w:spacing w:before="100" w:beforeAutospacing="1" w:after="100" w:afterAutospacing="1" w:line="300" w:lineRule="atLeast"/>
            </w:pPr>
            <w:r>
              <w:t>Documents must be mailed to UMB Graduate Admissions including:</w:t>
            </w:r>
          </w:p>
          <w:p w:rsidR="00E94B94" w:rsidRDefault="00E94B94" w:rsidP="00E94B94">
            <w:pPr>
              <w:pStyle w:val="ListParagraph"/>
              <w:numPr>
                <w:ilvl w:val="0"/>
                <w:numId w:val="8"/>
              </w:numPr>
              <w:shd w:val="clear" w:color="auto" w:fill="FFFFFF"/>
              <w:spacing w:before="100" w:beforeAutospacing="1" w:after="100" w:afterAutospacing="1" w:line="300" w:lineRule="atLeast"/>
            </w:pPr>
            <w:r>
              <w:t>Tests scores sent directly from the test agencies</w:t>
            </w:r>
          </w:p>
          <w:p w:rsidR="00E94B94" w:rsidRDefault="00E94B94" w:rsidP="00E94B94">
            <w:pPr>
              <w:pStyle w:val="ListParagraph"/>
              <w:numPr>
                <w:ilvl w:val="0"/>
                <w:numId w:val="8"/>
              </w:numPr>
              <w:shd w:val="clear" w:color="auto" w:fill="FFFFFF"/>
              <w:spacing w:before="100" w:beforeAutospacing="1" w:after="100" w:afterAutospacing="1" w:line="300" w:lineRule="atLeast"/>
            </w:pPr>
            <w:r>
              <w:t>Original documents of Official transcripts, evidence of completion of a university-level degree program,</w:t>
            </w:r>
            <w:r w:rsidRPr="00787556">
              <w:t xml:space="preserve"> Declaration and Certification of Finances Form</w:t>
            </w:r>
            <w:r>
              <w:t>, Transfer Verification Form (</w:t>
            </w:r>
            <w:r w:rsidRPr="00787556">
              <w:t>if needed</w:t>
            </w:r>
            <w:r>
              <w:t>) must be sent to UMB Graduate Admissions Office. T</w:t>
            </w:r>
            <w:r w:rsidRPr="00DD05E4">
              <w:t>hese cannot be returned to the applicant, so we recommend that you retain copies for your records.</w:t>
            </w:r>
          </w:p>
          <w:p w:rsidR="00E94B94" w:rsidRDefault="00E94B94" w:rsidP="00E94B94">
            <w:pPr>
              <w:pStyle w:val="ListParagraph"/>
              <w:numPr>
                <w:ilvl w:val="0"/>
                <w:numId w:val="7"/>
              </w:numPr>
              <w:shd w:val="clear" w:color="auto" w:fill="FFFFFF"/>
              <w:spacing w:before="100" w:beforeAutospacing="1" w:after="100" w:afterAutospacing="1" w:line="300" w:lineRule="atLeast"/>
            </w:pPr>
            <w:r>
              <w:t>Mailing Address:</w:t>
            </w:r>
          </w:p>
          <w:p w:rsidR="00E94B94" w:rsidRDefault="00E94B94" w:rsidP="00A81060">
            <w:pPr>
              <w:pStyle w:val="ListParagraph"/>
              <w:shd w:val="clear" w:color="auto" w:fill="FFFFFF"/>
              <w:spacing w:before="100" w:beforeAutospacing="1" w:after="100" w:afterAutospacing="1" w:line="300" w:lineRule="atLeast"/>
              <w:ind w:left="1440"/>
            </w:pPr>
            <w:r>
              <w:t xml:space="preserve">       </w:t>
            </w:r>
            <w:r w:rsidRPr="00787556">
              <w:t>Office of Graduate Admissions</w:t>
            </w:r>
            <w:r w:rsidRPr="00787556">
              <w:br/>
              <w:t>       University of Massachusetts Boston</w:t>
            </w:r>
            <w:r w:rsidRPr="00787556">
              <w:br/>
              <w:t>       100 Morrissey Boulevard</w:t>
            </w:r>
            <w:r w:rsidRPr="00787556">
              <w:br/>
              <w:t>       Boston, MA 02125-3393</w:t>
            </w:r>
          </w:p>
        </w:tc>
      </w:tr>
    </w:tbl>
    <w:p w:rsidR="00E94B94" w:rsidRDefault="00E94B94" w:rsidP="00E94B94"/>
    <w:p w:rsidR="00E94B94" w:rsidRDefault="00E94B94" w:rsidP="00E94B94"/>
    <w:p w:rsidR="00E94B94" w:rsidRDefault="00E94B94" w:rsidP="00E94B94">
      <w:r>
        <w:rPr>
          <w:rFonts w:hint="eastAsia"/>
        </w:rPr>
        <w:t>附件</w:t>
      </w:r>
      <w:r>
        <w:rPr>
          <w:rFonts w:hint="eastAsia"/>
        </w:rPr>
        <w:t>4</w:t>
      </w:r>
      <w:r>
        <w:rPr>
          <w:rFonts w:hint="eastAsia"/>
        </w:rPr>
        <w:t>：英语要求</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3"/>
        <w:gridCol w:w="1662"/>
        <w:gridCol w:w="2103"/>
        <w:gridCol w:w="1912"/>
        <w:gridCol w:w="988"/>
      </w:tblGrid>
      <w:tr w:rsidR="00E94B94" w:rsidRPr="00D700AC" w:rsidTr="00A81060">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UMass Boston requires the following minimum scores</w:t>
            </w:r>
          </w:p>
        </w:tc>
      </w:tr>
      <w:tr w:rsidR="00E94B94" w:rsidRPr="00D700AC"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b/>
                <w:bCs/>
                <w:color w:val="3A3A3A"/>
              </w:rPr>
            </w:pPr>
            <w:r w:rsidRPr="008877C2">
              <w:rPr>
                <w:rFonts w:asciiTheme="majorHAnsi" w:eastAsia="Times New Roman" w:hAnsiTheme="majorHAnsi" w:cs="Arial"/>
                <w:b/>
                <w:bCs/>
                <w:color w:val="3A3A3A"/>
              </w:rPr>
              <w:t>TOEFL</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Paper-based</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Computer-based</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Internet-based</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IELTS</w:t>
            </w:r>
          </w:p>
        </w:tc>
      </w:tr>
      <w:tr w:rsidR="00E94B94" w:rsidRPr="00D700AC"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before="100" w:beforeAutospacing="1" w:after="100" w:afterAutospacing="1"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 xml:space="preserve">College of Management </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600</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250</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90</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6.5</w:t>
            </w:r>
          </w:p>
        </w:tc>
      </w:tr>
      <w:tr w:rsidR="00E94B94" w:rsidRPr="00D700AC"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before="100" w:beforeAutospacing="1" w:after="100" w:afterAutospacing="1"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Applied Linguistics</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600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250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90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6.5</w:t>
            </w:r>
          </w:p>
        </w:tc>
      </w:tr>
      <w:tr w:rsidR="00E94B94" w:rsidRPr="00D700AC"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before="100" w:beforeAutospacing="1" w:after="100" w:afterAutospacing="1"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Most Other Programs</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550</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213</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79</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t>6.0</w:t>
            </w:r>
          </w:p>
        </w:tc>
      </w:tr>
      <w:tr w:rsidR="00E94B94" w:rsidRPr="00D700AC"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tcPr>
          <w:p w:rsidR="00E94B94" w:rsidRPr="008877C2" w:rsidRDefault="00E94B94" w:rsidP="00A81060">
            <w:pPr>
              <w:spacing w:before="100" w:beforeAutospacing="1" w:after="100" w:afterAutospacing="1" w:line="210" w:lineRule="atLeast"/>
              <w:rPr>
                <w:rFonts w:asciiTheme="majorHAnsi" w:eastAsia="Times New Roman" w:hAnsiTheme="majorHAnsi" w:cs="Arial"/>
                <w:b/>
                <w:bCs/>
                <w:color w:val="3A3A3A"/>
              </w:rPr>
            </w:pP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tcPr>
          <w:p w:rsidR="00E94B94" w:rsidRPr="008877C2" w:rsidRDefault="00E94B94" w:rsidP="00A81060">
            <w:pPr>
              <w:spacing w:after="0" w:line="210" w:lineRule="atLeast"/>
              <w:rPr>
                <w:rFonts w:asciiTheme="majorHAnsi" w:eastAsia="Times New Roman" w:hAnsiTheme="majorHAnsi" w:cs="Arial"/>
                <w:color w:val="3A3A3A"/>
              </w:rPr>
            </w:pP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tcPr>
          <w:p w:rsidR="00E94B94" w:rsidRPr="008877C2" w:rsidRDefault="00E94B94" w:rsidP="00A81060">
            <w:pPr>
              <w:spacing w:after="0" w:line="210" w:lineRule="atLeast"/>
              <w:rPr>
                <w:rFonts w:asciiTheme="majorHAnsi" w:eastAsia="Times New Roman" w:hAnsiTheme="majorHAnsi" w:cs="Arial"/>
                <w:color w:val="3A3A3A"/>
              </w:rPr>
            </w:pP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tcPr>
          <w:p w:rsidR="00E94B94" w:rsidRPr="008877C2" w:rsidRDefault="00E94B94" w:rsidP="00A81060">
            <w:pPr>
              <w:spacing w:after="0" w:line="210" w:lineRule="atLeast"/>
              <w:rPr>
                <w:rFonts w:asciiTheme="majorHAnsi" w:eastAsia="Times New Roman" w:hAnsiTheme="majorHAnsi" w:cs="Arial"/>
                <w:color w:val="3A3A3A"/>
              </w:rPr>
            </w:pP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tcPr>
          <w:p w:rsidR="00E94B94" w:rsidRPr="008877C2" w:rsidRDefault="00E94B94" w:rsidP="00A81060">
            <w:pPr>
              <w:spacing w:after="0" w:line="210" w:lineRule="atLeast"/>
              <w:rPr>
                <w:rFonts w:asciiTheme="majorHAnsi" w:eastAsia="Times New Roman" w:hAnsiTheme="majorHAnsi" w:cs="Arial"/>
                <w:b/>
                <w:bCs/>
                <w:color w:val="3A3A3A"/>
              </w:rPr>
            </w:pPr>
          </w:p>
        </w:tc>
      </w:tr>
    </w:tbl>
    <w:p w:rsidR="00E94B94" w:rsidRDefault="00E94B94" w:rsidP="00E94B94"/>
    <w:p w:rsidR="00E94B94" w:rsidRDefault="00E94B94" w:rsidP="00E94B94">
      <w:pPr>
        <w:rPr>
          <w:b/>
        </w:rPr>
      </w:pPr>
      <w:proofErr w:type="spellStart"/>
      <w:r w:rsidRPr="00F74FCE">
        <w:rPr>
          <w:b/>
        </w:rPr>
        <w:t>Renmin</w:t>
      </w:r>
      <w:proofErr w:type="spellEnd"/>
      <w:r w:rsidRPr="00F74FCE">
        <w:rPr>
          <w:b/>
        </w:rPr>
        <w:t xml:space="preserve"> Recruitment Only:  CET Band 6 minimum score 400</w:t>
      </w:r>
    </w:p>
    <w:p w:rsidR="00E94B94" w:rsidRPr="00E94B94" w:rsidRDefault="00E94B94" w:rsidP="00E94B94">
      <w:r w:rsidRPr="00E94B94">
        <w:rPr>
          <w:rFonts w:hint="eastAsia"/>
        </w:rPr>
        <w:t>附件</w:t>
      </w:r>
      <w:r w:rsidRPr="00E94B94">
        <w:rPr>
          <w:rFonts w:hint="eastAsia"/>
        </w:rPr>
        <w:t>5</w:t>
      </w:r>
      <w:r w:rsidRPr="00E94B94">
        <w:rPr>
          <w:rFonts w:hint="eastAsia"/>
        </w:rPr>
        <w:t>：预计所需费用</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0"/>
        <w:gridCol w:w="3448"/>
      </w:tblGrid>
      <w:tr w:rsidR="00E94B94" w:rsidRPr="005A33F4" w:rsidTr="00A8106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b/>
                <w:bCs/>
                <w:color w:val="3A3A3A"/>
              </w:rPr>
              <w:lastRenderedPageBreak/>
              <w:t>Estimate of Institutional Costs and Living Expenses</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 </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b/>
                <w:bCs/>
                <w:color w:val="3A3A3A"/>
              </w:rPr>
              <w:t>Annual Expense</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Tuition</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$9,758.00</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Fees (including health insurance)</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$19,121.00</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Room and board</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$10,200.00</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Books and supplies</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$860.00</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Miscellaneous personal expenses</w:t>
            </w:r>
          </w:p>
        </w:tc>
        <w:tc>
          <w:tcPr>
            <w:tcW w:w="0" w:type="auto"/>
            <w:tcBorders>
              <w:top w:val="outset" w:sz="6" w:space="0" w:color="auto"/>
              <w:left w:val="outset" w:sz="6" w:space="0" w:color="auto"/>
              <w:bottom w:val="outset" w:sz="6" w:space="0" w:color="auto"/>
              <w:right w:val="outset" w:sz="6" w:space="0" w:color="auto"/>
            </w:tcBorders>
            <w:shd w:val="clear" w:color="auto" w:fill="E5E6E6"/>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$3,000.00</w:t>
            </w:r>
          </w:p>
        </w:tc>
      </w:tr>
      <w:tr w:rsidR="00E94B94" w:rsidRPr="005A33F4" w:rsidTr="00A81060">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rPr>
                <w:rFonts w:asciiTheme="majorHAnsi" w:eastAsia="Times New Roman" w:hAnsiTheme="majorHAnsi" w:cs="Arial"/>
                <w:color w:val="3A3A3A"/>
              </w:rPr>
            </w:pPr>
            <w:r w:rsidRPr="008877C2">
              <w:rPr>
                <w:rFonts w:asciiTheme="majorHAnsi" w:eastAsia="Times New Roman" w:hAnsiTheme="majorHAnsi" w:cs="Arial"/>
                <w:color w:val="3A3A3A"/>
              </w:rPr>
              <w:t>Total</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105" w:type="dxa"/>
              <w:left w:w="165" w:type="dxa"/>
              <w:bottom w:w="120" w:type="dxa"/>
              <w:right w:w="75" w:type="dxa"/>
            </w:tcMar>
            <w:hideMark/>
          </w:tcPr>
          <w:p w:rsidR="00E94B94" w:rsidRPr="008877C2" w:rsidRDefault="00E94B94" w:rsidP="00A81060">
            <w:pPr>
              <w:spacing w:after="0" w:line="210" w:lineRule="atLeast"/>
              <w:jc w:val="right"/>
              <w:rPr>
                <w:rFonts w:asciiTheme="majorHAnsi" w:eastAsia="Times New Roman" w:hAnsiTheme="majorHAnsi" w:cs="Arial"/>
                <w:color w:val="3A3A3A"/>
              </w:rPr>
            </w:pPr>
            <w:r w:rsidRPr="008877C2">
              <w:rPr>
                <w:rFonts w:asciiTheme="majorHAnsi" w:eastAsia="Times New Roman" w:hAnsiTheme="majorHAnsi" w:cs="Arial"/>
                <w:color w:val="3A3A3A"/>
              </w:rPr>
              <w:t>$42,939.00</w:t>
            </w:r>
          </w:p>
        </w:tc>
      </w:tr>
    </w:tbl>
    <w:p w:rsidR="00E94B94" w:rsidRDefault="00E94B94" w:rsidP="00E94B94"/>
    <w:p w:rsidR="00783756" w:rsidRPr="00783756" w:rsidRDefault="00783756" w:rsidP="00E92D86">
      <w:pPr>
        <w:snapToGrid w:val="0"/>
        <w:spacing w:after="0" w:line="360" w:lineRule="auto"/>
        <w:rPr>
          <w:sz w:val="24"/>
          <w:szCs w:val="24"/>
        </w:rPr>
      </w:pPr>
    </w:p>
    <w:sectPr w:rsidR="00783756" w:rsidRPr="00783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35044"/>
    <w:multiLevelType w:val="hybridMultilevel"/>
    <w:tmpl w:val="79701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61961"/>
    <w:multiLevelType w:val="hybridMultilevel"/>
    <w:tmpl w:val="DBB8CA84"/>
    <w:lvl w:ilvl="0" w:tplc="51EC5888">
      <w:start w:val="1"/>
      <w:numFmt w:val="lowerLetter"/>
      <w:lvlText w:val="%1."/>
      <w:lvlJc w:val="left"/>
      <w:pPr>
        <w:ind w:left="720" w:hanging="360"/>
      </w:pPr>
      <w:rPr>
        <w:rFonts w:ascii="Georgia" w:eastAsia="Times New Roman" w:hAnsi="Georgia" w:cs="Arial" w:hint="default"/>
        <w:color w:val="3A3A3A"/>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D629E"/>
    <w:multiLevelType w:val="hybridMultilevel"/>
    <w:tmpl w:val="5D2A7866"/>
    <w:lvl w:ilvl="0" w:tplc="6E1A3742">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E3FDC"/>
    <w:multiLevelType w:val="hybridMultilevel"/>
    <w:tmpl w:val="0534DF58"/>
    <w:lvl w:ilvl="0" w:tplc="54440604">
      <w:start w:val="1"/>
      <w:numFmt w:val="japaneseCounting"/>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41186463"/>
    <w:multiLevelType w:val="hybridMultilevel"/>
    <w:tmpl w:val="6CF457D4"/>
    <w:lvl w:ilvl="0" w:tplc="2A4CEF72">
      <w:start w:val="1"/>
      <w:numFmt w:val="lowerLetter"/>
      <w:lvlText w:val="%1."/>
      <w:lvlJc w:val="left"/>
      <w:pPr>
        <w:ind w:left="720" w:hanging="360"/>
      </w:pPr>
      <w:rPr>
        <w:rFonts w:ascii="Georgia" w:hAnsi="Georgia" w:cs="Arial" w:hint="default"/>
        <w:color w:val="3A3A3A"/>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13BAF"/>
    <w:multiLevelType w:val="hybridMultilevel"/>
    <w:tmpl w:val="2FFA14D8"/>
    <w:lvl w:ilvl="0" w:tplc="BCB60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22144F"/>
    <w:multiLevelType w:val="hybridMultilevel"/>
    <w:tmpl w:val="3560F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76575"/>
    <w:multiLevelType w:val="hybridMultilevel"/>
    <w:tmpl w:val="0AFE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23"/>
    <w:rsid w:val="00025FF6"/>
    <w:rsid w:val="000575B7"/>
    <w:rsid w:val="002800D3"/>
    <w:rsid w:val="00370131"/>
    <w:rsid w:val="003B34AC"/>
    <w:rsid w:val="003F5D5A"/>
    <w:rsid w:val="00597685"/>
    <w:rsid w:val="005C6428"/>
    <w:rsid w:val="00783756"/>
    <w:rsid w:val="008017E1"/>
    <w:rsid w:val="00824C75"/>
    <w:rsid w:val="00861F2A"/>
    <w:rsid w:val="0098089F"/>
    <w:rsid w:val="009B5F20"/>
    <w:rsid w:val="00D50023"/>
    <w:rsid w:val="00E92D86"/>
    <w:rsid w:val="00E94B94"/>
    <w:rsid w:val="00F6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0E4A7-4DB2-43BC-9743-185E831F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3">
    <w:name w:val="date3"/>
    <w:basedOn w:val="DefaultParagraphFont"/>
    <w:rsid w:val="00D50023"/>
    <w:rPr>
      <w:color w:val="CCB18D"/>
    </w:rPr>
  </w:style>
  <w:style w:type="table" w:customStyle="1" w:styleId="a">
    <w:name w:val="普通表格"/>
    <w:uiPriority w:val="99"/>
    <w:semiHidden/>
    <w:qFormat/>
    <w:rsid w:val="00D50023"/>
    <w:pPr>
      <w:spacing w:after="0" w:line="300" w:lineRule="atLeast"/>
    </w:pPr>
    <w:rPr>
      <w:color w:val="593939"/>
      <w:kern w:val="2"/>
      <w:sz w:val="21"/>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Grid">
    <w:name w:val="Table Grid"/>
    <w:basedOn w:val="TableNormal"/>
    <w:uiPriority w:val="39"/>
    <w:rsid w:val="00370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0131"/>
    <w:pPr>
      <w:ind w:left="720"/>
      <w:contextualSpacing/>
    </w:pPr>
  </w:style>
  <w:style w:type="character" w:styleId="Hyperlink">
    <w:name w:val="Hyperlink"/>
    <w:basedOn w:val="DefaultParagraphFont"/>
    <w:uiPriority w:val="99"/>
    <w:unhideWhenUsed/>
    <w:rsid w:val="00861F2A"/>
    <w:rPr>
      <w:color w:val="0000FF"/>
      <w:u w:val="single"/>
    </w:rPr>
  </w:style>
  <w:style w:type="character" w:customStyle="1" w:styleId="fsp">
    <w:name w:val="_f_sp"/>
    <w:basedOn w:val="DefaultParagraphFont"/>
    <w:rsid w:val="0098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99532">
      <w:bodyDiv w:val="1"/>
      <w:marLeft w:val="0"/>
      <w:marRight w:val="0"/>
      <w:marTop w:val="0"/>
      <w:marBottom w:val="0"/>
      <w:divBdr>
        <w:top w:val="none" w:sz="0" w:space="0" w:color="auto"/>
        <w:left w:val="none" w:sz="0" w:space="0" w:color="auto"/>
        <w:bottom w:val="none" w:sz="0" w:space="0" w:color="auto"/>
        <w:right w:val="none" w:sz="0" w:space="0" w:color="auto"/>
      </w:divBdr>
      <w:divsChild>
        <w:div w:id="1776247110">
          <w:marLeft w:val="0"/>
          <w:marRight w:val="0"/>
          <w:marTop w:val="0"/>
          <w:marBottom w:val="0"/>
          <w:divBdr>
            <w:top w:val="none" w:sz="0" w:space="0" w:color="auto"/>
            <w:left w:val="none" w:sz="0" w:space="0" w:color="auto"/>
            <w:bottom w:val="none" w:sz="0" w:space="0" w:color="auto"/>
            <w:right w:val="none" w:sz="0" w:space="0" w:color="auto"/>
          </w:divBdr>
          <w:divsChild>
            <w:div w:id="969556105">
              <w:marLeft w:val="0"/>
              <w:marRight w:val="0"/>
              <w:marTop w:val="0"/>
              <w:marBottom w:val="0"/>
              <w:divBdr>
                <w:top w:val="none" w:sz="0" w:space="0" w:color="auto"/>
                <w:left w:val="none" w:sz="0" w:space="0" w:color="auto"/>
                <w:bottom w:val="none" w:sz="0" w:space="0" w:color="auto"/>
                <w:right w:val="none" w:sz="0" w:space="0" w:color="auto"/>
              </w:divBdr>
              <w:divsChild>
                <w:div w:id="668099229">
                  <w:marLeft w:val="0"/>
                  <w:marRight w:val="0"/>
                  <w:marTop w:val="0"/>
                  <w:marBottom w:val="0"/>
                  <w:divBdr>
                    <w:top w:val="none" w:sz="0" w:space="0" w:color="auto"/>
                    <w:left w:val="none" w:sz="0" w:space="0" w:color="auto"/>
                    <w:bottom w:val="none" w:sz="0" w:space="0" w:color="auto"/>
                    <w:right w:val="none" w:sz="0" w:space="0" w:color="auto"/>
                  </w:divBdr>
                  <w:divsChild>
                    <w:div w:id="565998277">
                      <w:marLeft w:val="0"/>
                      <w:marRight w:val="0"/>
                      <w:marTop w:val="15"/>
                      <w:marBottom w:val="0"/>
                      <w:divBdr>
                        <w:top w:val="none" w:sz="0" w:space="0" w:color="auto"/>
                        <w:left w:val="none" w:sz="0" w:space="0" w:color="auto"/>
                        <w:bottom w:val="none" w:sz="0" w:space="0" w:color="auto"/>
                        <w:right w:val="none" w:sz="0" w:space="0" w:color="auto"/>
                      </w:divBdr>
                      <w:divsChild>
                        <w:div w:id="652222300">
                          <w:marLeft w:val="0"/>
                          <w:marRight w:val="0"/>
                          <w:marTop w:val="0"/>
                          <w:marBottom w:val="0"/>
                          <w:divBdr>
                            <w:top w:val="none" w:sz="0" w:space="0" w:color="auto"/>
                            <w:left w:val="none" w:sz="0" w:space="0" w:color="auto"/>
                            <w:bottom w:val="none" w:sz="0" w:space="0" w:color="auto"/>
                            <w:right w:val="none" w:sz="0" w:space="0" w:color="auto"/>
                          </w:divBdr>
                          <w:divsChild>
                            <w:div w:id="1550801143">
                              <w:marLeft w:val="90"/>
                              <w:marRight w:val="75"/>
                              <w:marTop w:val="825"/>
                              <w:marBottom w:val="0"/>
                              <w:divBdr>
                                <w:top w:val="none" w:sz="0" w:space="0" w:color="auto"/>
                                <w:left w:val="none" w:sz="0" w:space="0" w:color="auto"/>
                                <w:bottom w:val="none" w:sz="0" w:space="0" w:color="auto"/>
                                <w:right w:val="none" w:sz="0" w:space="0" w:color="auto"/>
                              </w:divBdr>
                              <w:divsChild>
                                <w:div w:id="1864703437">
                                  <w:marLeft w:val="0"/>
                                  <w:marRight w:val="0"/>
                                  <w:marTop w:val="0"/>
                                  <w:marBottom w:val="0"/>
                                  <w:divBdr>
                                    <w:top w:val="none" w:sz="0" w:space="0" w:color="auto"/>
                                    <w:left w:val="none" w:sz="0" w:space="0" w:color="auto"/>
                                    <w:bottom w:val="none" w:sz="0" w:space="0" w:color="auto"/>
                                    <w:right w:val="none" w:sz="0" w:space="0" w:color="auto"/>
                                  </w:divBdr>
                                  <w:divsChild>
                                    <w:div w:id="646787926">
                                      <w:marLeft w:val="0"/>
                                      <w:marRight w:val="0"/>
                                      <w:marTop w:val="0"/>
                                      <w:marBottom w:val="0"/>
                                      <w:divBdr>
                                        <w:top w:val="none" w:sz="0" w:space="0" w:color="auto"/>
                                        <w:left w:val="none" w:sz="0" w:space="0" w:color="auto"/>
                                        <w:bottom w:val="none" w:sz="0" w:space="0" w:color="auto"/>
                                        <w:right w:val="none" w:sz="0" w:space="0" w:color="auto"/>
                                      </w:divBdr>
                                      <w:divsChild>
                                        <w:div w:id="554438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295014">
      <w:bodyDiv w:val="1"/>
      <w:marLeft w:val="0"/>
      <w:marRight w:val="0"/>
      <w:marTop w:val="0"/>
      <w:marBottom w:val="0"/>
      <w:divBdr>
        <w:top w:val="none" w:sz="0" w:space="0" w:color="auto"/>
        <w:left w:val="none" w:sz="0" w:space="0" w:color="auto"/>
        <w:bottom w:val="none" w:sz="0" w:space="0" w:color="auto"/>
        <w:right w:val="none" w:sz="0" w:space="0" w:color="auto"/>
      </w:divBdr>
      <w:divsChild>
        <w:div w:id="1503664967">
          <w:marLeft w:val="0"/>
          <w:marRight w:val="0"/>
          <w:marTop w:val="0"/>
          <w:marBottom w:val="0"/>
          <w:divBdr>
            <w:top w:val="none" w:sz="0" w:space="0" w:color="auto"/>
            <w:left w:val="none" w:sz="0" w:space="0" w:color="auto"/>
            <w:bottom w:val="none" w:sz="0" w:space="0" w:color="auto"/>
            <w:right w:val="none" w:sz="0" w:space="0" w:color="auto"/>
          </w:divBdr>
          <w:divsChild>
            <w:div w:id="1311448789">
              <w:marLeft w:val="0"/>
              <w:marRight w:val="0"/>
              <w:marTop w:val="0"/>
              <w:marBottom w:val="0"/>
              <w:divBdr>
                <w:top w:val="none" w:sz="0" w:space="0" w:color="auto"/>
                <w:left w:val="none" w:sz="0" w:space="0" w:color="auto"/>
                <w:bottom w:val="none" w:sz="0" w:space="0" w:color="auto"/>
                <w:right w:val="none" w:sz="0" w:space="0" w:color="auto"/>
              </w:divBdr>
              <w:divsChild>
                <w:div w:id="1851673280">
                  <w:marLeft w:val="0"/>
                  <w:marRight w:val="0"/>
                  <w:marTop w:val="0"/>
                  <w:marBottom w:val="0"/>
                  <w:divBdr>
                    <w:top w:val="none" w:sz="0" w:space="0" w:color="auto"/>
                    <w:left w:val="none" w:sz="0" w:space="0" w:color="auto"/>
                    <w:bottom w:val="none" w:sz="0" w:space="0" w:color="auto"/>
                    <w:right w:val="none" w:sz="0" w:space="0" w:color="auto"/>
                  </w:divBdr>
                  <w:divsChild>
                    <w:div w:id="1166092664">
                      <w:marLeft w:val="0"/>
                      <w:marRight w:val="0"/>
                      <w:marTop w:val="15"/>
                      <w:marBottom w:val="0"/>
                      <w:divBdr>
                        <w:top w:val="none" w:sz="0" w:space="0" w:color="auto"/>
                        <w:left w:val="none" w:sz="0" w:space="0" w:color="auto"/>
                        <w:bottom w:val="none" w:sz="0" w:space="0" w:color="auto"/>
                        <w:right w:val="none" w:sz="0" w:space="0" w:color="auto"/>
                      </w:divBdr>
                      <w:divsChild>
                        <w:div w:id="1427267526">
                          <w:marLeft w:val="0"/>
                          <w:marRight w:val="0"/>
                          <w:marTop w:val="0"/>
                          <w:marBottom w:val="0"/>
                          <w:divBdr>
                            <w:top w:val="none" w:sz="0" w:space="0" w:color="auto"/>
                            <w:left w:val="none" w:sz="0" w:space="0" w:color="auto"/>
                            <w:bottom w:val="none" w:sz="0" w:space="0" w:color="auto"/>
                            <w:right w:val="none" w:sz="0" w:space="0" w:color="auto"/>
                          </w:divBdr>
                          <w:divsChild>
                            <w:div w:id="1331592673">
                              <w:marLeft w:val="90"/>
                              <w:marRight w:val="75"/>
                              <w:marTop w:val="825"/>
                              <w:marBottom w:val="0"/>
                              <w:divBdr>
                                <w:top w:val="none" w:sz="0" w:space="0" w:color="auto"/>
                                <w:left w:val="none" w:sz="0" w:space="0" w:color="auto"/>
                                <w:bottom w:val="none" w:sz="0" w:space="0" w:color="auto"/>
                                <w:right w:val="none" w:sz="0" w:space="0" w:color="auto"/>
                              </w:divBdr>
                              <w:divsChild>
                                <w:div w:id="326137312">
                                  <w:marLeft w:val="0"/>
                                  <w:marRight w:val="0"/>
                                  <w:marTop w:val="0"/>
                                  <w:marBottom w:val="0"/>
                                  <w:divBdr>
                                    <w:top w:val="none" w:sz="0" w:space="0" w:color="auto"/>
                                    <w:left w:val="none" w:sz="0" w:space="0" w:color="auto"/>
                                    <w:bottom w:val="none" w:sz="0" w:space="0" w:color="auto"/>
                                    <w:right w:val="none" w:sz="0" w:space="0" w:color="auto"/>
                                  </w:divBdr>
                                  <w:divsChild>
                                    <w:div w:id="1823307618">
                                      <w:marLeft w:val="0"/>
                                      <w:marRight w:val="0"/>
                                      <w:marTop w:val="0"/>
                                      <w:marBottom w:val="0"/>
                                      <w:divBdr>
                                        <w:top w:val="none" w:sz="0" w:space="0" w:color="auto"/>
                                        <w:left w:val="none" w:sz="0" w:space="0" w:color="auto"/>
                                        <w:bottom w:val="none" w:sz="0" w:space="0" w:color="auto"/>
                                        <w:right w:val="none" w:sz="0" w:space="0" w:color="auto"/>
                                      </w:divBdr>
                                      <w:divsChild>
                                        <w:div w:id="1034840556">
                                          <w:marLeft w:val="0"/>
                                          <w:marRight w:val="0"/>
                                          <w:marTop w:val="150"/>
                                          <w:marBottom w:val="150"/>
                                          <w:divBdr>
                                            <w:top w:val="none" w:sz="0" w:space="0" w:color="auto"/>
                                            <w:left w:val="none" w:sz="0" w:space="0" w:color="auto"/>
                                            <w:bottom w:val="none" w:sz="0" w:space="0" w:color="auto"/>
                                            <w:right w:val="none" w:sz="0" w:space="0" w:color="auto"/>
                                          </w:divBdr>
                                        </w:div>
                                        <w:div w:id="4704439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academics/cm/masters_programs/mba" TargetMode="External"/><Relationship Id="rId13" Type="http://schemas.openxmlformats.org/officeDocument/2006/relationships/hyperlink" Target="http://www.umb.edu/academics/cm/masters_programs" TargetMode="External"/><Relationship Id="rId18" Type="http://schemas.openxmlformats.org/officeDocument/2006/relationships/hyperlink" Target="http://www.umb.edu/academics/mgs/gerontology/graduate/gerontology_phd" TargetMode="External"/><Relationship Id="rId26" Type="http://schemas.openxmlformats.org/officeDocument/2006/relationships/hyperlink" Target="http://www.umb.edu/admissions/grad/apply/application_requiremen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mb.edu/www.umb.edu/academics/cehd/" TargetMode="External"/><Relationship Id="rId34" Type="http://schemas.openxmlformats.org/officeDocument/2006/relationships/hyperlink" Target="http://www.umb.edu/bursar/tuition_and_fees" TargetMode="External"/><Relationship Id="rId7" Type="http://schemas.openxmlformats.org/officeDocument/2006/relationships/hyperlink" Target="mailto:Michael.Alderman@umb.edu" TargetMode="External"/><Relationship Id="rId12" Type="http://schemas.openxmlformats.org/officeDocument/2006/relationships/hyperlink" Target="http://www.umb.edu/academics/cm/masters_programs/msit" TargetMode="External"/><Relationship Id="rId17" Type="http://schemas.openxmlformats.org/officeDocument/2006/relationships/hyperlink" Target="http://www.umb.edu/academics/mgs/gerontology/graduate/gerontology_research_policy_ms" TargetMode="External"/><Relationship Id="rId25" Type="http://schemas.openxmlformats.org/officeDocument/2006/relationships/hyperlink" Target="http://www.umb.edu/admissions/grad/apply/application_requirements" TargetMode="External"/><Relationship Id="rId33" Type="http://schemas.openxmlformats.org/officeDocument/2006/relationships/hyperlink" Target="http://cdn.umb.edu/images/cert_of_finance_1.pdf" TargetMode="External"/><Relationship Id="rId38" Type="http://schemas.openxmlformats.org/officeDocument/2006/relationships/hyperlink" Target="http://www.umb.edu/admissions/grad/apply" TargetMode="External"/><Relationship Id="rId2" Type="http://schemas.openxmlformats.org/officeDocument/2006/relationships/styles" Target="styles.xml"/><Relationship Id="rId16" Type="http://schemas.openxmlformats.org/officeDocument/2006/relationships/hyperlink" Target="http://www.umb.edu/academics/mgs/gerontology/graduate/mgt_agingservices_ms" TargetMode="External"/><Relationship Id="rId20" Type="http://schemas.openxmlformats.org/officeDocument/2006/relationships/hyperlink" Target="http://www.umb.edu/academics/mgs/publicpolicy_publicaffairs/graduate" TargetMode="External"/><Relationship Id="rId29" Type="http://schemas.openxmlformats.org/officeDocument/2006/relationships/hyperlink" Target="http://www.ets.org/toefl" TargetMode="External"/><Relationship Id="rId1" Type="http://schemas.openxmlformats.org/officeDocument/2006/relationships/numbering" Target="numbering.xml"/><Relationship Id="rId6" Type="http://schemas.openxmlformats.org/officeDocument/2006/relationships/hyperlink" Target="mailto:Michael.Alderman@umb.edu" TargetMode="External"/><Relationship Id="rId11" Type="http://schemas.openxmlformats.org/officeDocument/2006/relationships/hyperlink" Target="http://www.umb.edu/academics/cm/masters_programs/msim" TargetMode="External"/><Relationship Id="rId24" Type="http://schemas.openxmlformats.org/officeDocument/2006/relationships/hyperlink" Target="http://www.umb.edu/admissions/grad/international_ga" TargetMode="External"/><Relationship Id="rId32" Type="http://schemas.openxmlformats.org/officeDocument/2006/relationships/hyperlink" Target="http://www.umb.edu/admissions/grad/international_ga" TargetMode="External"/><Relationship Id="rId37" Type="http://schemas.openxmlformats.org/officeDocument/2006/relationships/hyperlink" Target="http://www.umb.edu/admissions/grad/international_ga" TargetMode="External"/><Relationship Id="rId40" Type="http://schemas.openxmlformats.org/officeDocument/2006/relationships/theme" Target="theme/theme1.xml"/><Relationship Id="rId5" Type="http://schemas.openxmlformats.org/officeDocument/2006/relationships/hyperlink" Target="http://www.umb.edu/admissions/grad/apply" TargetMode="External"/><Relationship Id="rId15" Type="http://schemas.openxmlformats.org/officeDocument/2006/relationships/hyperlink" Target="http://www.umb.edu/academics/mgs/crhsgg" TargetMode="External"/><Relationship Id="rId23" Type="http://schemas.openxmlformats.org/officeDocument/2006/relationships/hyperlink" Target="http://www.umb.edu/admissions/grad/international_ga" TargetMode="External"/><Relationship Id="rId28" Type="http://schemas.openxmlformats.org/officeDocument/2006/relationships/hyperlink" Target="http://www.umb.edu/admissions/grad/international_ga" TargetMode="External"/><Relationship Id="rId36" Type="http://schemas.openxmlformats.org/officeDocument/2006/relationships/hyperlink" Target="http://cdn.umb.edu/images/transfer_verification_form16.pdf" TargetMode="External"/><Relationship Id="rId10" Type="http://schemas.openxmlformats.org/officeDocument/2006/relationships/hyperlink" Target="http://www.umb.edu/academics/cm/masters_programs/msf" TargetMode="External"/><Relationship Id="rId19" Type="http://schemas.openxmlformats.org/officeDocument/2006/relationships/hyperlink" Target="http://www.umb.edu/academics/mgs/gerontology/graduate" TargetMode="External"/><Relationship Id="rId31" Type="http://schemas.openxmlformats.org/officeDocument/2006/relationships/hyperlink" Target="http://www.umb.edu/admissions/grad/academic_programs_contact_info" TargetMode="External"/><Relationship Id="rId4" Type="http://schemas.openxmlformats.org/officeDocument/2006/relationships/webSettings" Target="webSettings.xml"/><Relationship Id="rId9" Type="http://schemas.openxmlformats.org/officeDocument/2006/relationships/hyperlink" Target="http://www.umb.edu/academics/cm/masters_programs/msa" TargetMode="External"/><Relationship Id="rId14" Type="http://schemas.openxmlformats.org/officeDocument/2006/relationships/hyperlink" Target="http://cdn.umb.edu/images/college_management/Grad_Programs.Brochure.2013.pdf" TargetMode="External"/><Relationship Id="rId22" Type="http://schemas.openxmlformats.org/officeDocument/2006/relationships/hyperlink" Target="http://www.umb.edu/academics/cehd/leadership/grad?" TargetMode="External"/><Relationship Id="rId27" Type="http://schemas.openxmlformats.org/officeDocument/2006/relationships/hyperlink" Target="http://www.umb.edu/admissions/grad/academic_programs_contact_info" TargetMode="External"/><Relationship Id="rId30" Type="http://schemas.openxmlformats.org/officeDocument/2006/relationships/hyperlink" Target="http://www.ielts.org/" TargetMode="External"/><Relationship Id="rId35" Type="http://schemas.openxmlformats.org/officeDocument/2006/relationships/hyperlink" Target="http://www.umb.edu/admissions/grad/international_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Chengyun Liu</dc:creator>
  <cp:lastModifiedBy>Microsoft account</cp:lastModifiedBy>
  <cp:revision>11</cp:revision>
  <dcterms:created xsi:type="dcterms:W3CDTF">2014-03-17T15:39:00Z</dcterms:created>
  <dcterms:modified xsi:type="dcterms:W3CDTF">2014-03-18T03:03:00Z</dcterms:modified>
</cp:coreProperties>
</file>